
<file path=[Content_Types].xml><?xml version="1.0" encoding="utf-8"?>
<Types xmlns="http://schemas.openxmlformats.org/package/2006/content-types">
  <Default Extension="png" ContentType="image/png"/>
  <Default Extension="emf" ContentType="image/x-emf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575" w:rsidRPr="00D93F69" w:rsidRDefault="00C97575" w:rsidP="00C97575">
      <w:pPr>
        <w:pStyle w:val="a3"/>
        <w:spacing w:after="0" w:line="240" w:lineRule="auto"/>
        <w:ind w:left="0" w:hanging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60185" cy="9388475"/>
            <wp:effectExtent l="19050" t="0" r="0" b="0"/>
            <wp:docPr id="1" name="Рисунок 1" descr="Титульный л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итульный лис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938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75" w:rsidRDefault="00C97575" w:rsidP="00C97575">
      <w:pPr>
        <w:pStyle w:val="a3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pStyle w:val="a3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 ВВОДНАЯ ЧАСТЬ</w:t>
      </w:r>
    </w:p>
    <w:p w:rsidR="00C97575" w:rsidRPr="003E4B3D" w:rsidRDefault="00C97575" w:rsidP="00C9757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3E4B3D">
        <w:rPr>
          <w:rFonts w:ascii="Times New Roman" w:hAnsi="Times New Roman"/>
          <w:b/>
          <w:bCs/>
          <w:sz w:val="28"/>
          <w:szCs w:val="28"/>
        </w:rPr>
        <w:t xml:space="preserve"> 1.1. Основные понятия и термины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E4B3D">
        <w:rPr>
          <w:rFonts w:ascii="Times New Roman" w:hAnsi="Times New Roman"/>
          <w:b/>
          <w:bCs/>
          <w:sz w:val="28"/>
          <w:szCs w:val="28"/>
        </w:rPr>
        <w:t xml:space="preserve">Бюджет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E4B3D">
        <w:rPr>
          <w:rFonts w:ascii="Times New Roman" w:hAnsi="Times New Roman"/>
          <w:bCs/>
          <w:sz w:val="28"/>
          <w:szCs w:val="28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самоуправления.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3E4B3D">
        <w:rPr>
          <w:rFonts w:ascii="Times New Roman" w:hAnsi="Times New Roman"/>
          <w:b/>
          <w:sz w:val="28"/>
          <w:szCs w:val="28"/>
        </w:rPr>
        <w:t>Бюджетн</w:t>
      </w:r>
      <w:bookmarkStart w:id="0" w:name="_GoBack"/>
      <w:bookmarkEnd w:id="0"/>
      <w:r w:rsidRPr="003E4B3D">
        <w:rPr>
          <w:rFonts w:ascii="Times New Roman" w:hAnsi="Times New Roman"/>
          <w:b/>
          <w:sz w:val="28"/>
          <w:szCs w:val="28"/>
        </w:rPr>
        <w:t>ая  политика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Style w:val="a4"/>
          <w:rFonts w:ascii="Times New Roman" w:hAnsi="Times New Roman"/>
          <w:b w:val="0"/>
          <w:sz w:val="28"/>
          <w:szCs w:val="28"/>
        </w:rPr>
        <w:t>совокупность принимаемых решений, осуществляемых органами законодательной (представительной) и исполнительной власти мер, связанных с определением основных направлений развития бюджетных отношений и выработкой конкретных путей их использования в интересах граждан, общества и государства</w:t>
      </w:r>
      <w:r w:rsidRPr="003E4B3D">
        <w:rPr>
          <w:rStyle w:val="a4"/>
          <w:rFonts w:ascii="Verdana" w:hAnsi="Verdana"/>
          <w:sz w:val="21"/>
          <w:szCs w:val="21"/>
        </w:rPr>
        <w:t>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  <w:r w:rsidRPr="003E4B3D">
        <w:rPr>
          <w:rFonts w:ascii="Times New Roman" w:hAnsi="Times New Roman"/>
          <w:b/>
          <w:bCs/>
          <w:iCs/>
          <w:sz w:val="28"/>
          <w:szCs w:val="28"/>
        </w:rPr>
        <w:t>Доходы бюджета</w:t>
      </w:r>
      <w:r w:rsidRPr="003E4B3D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bCs/>
          <w:iCs/>
          <w:sz w:val="28"/>
          <w:szCs w:val="28"/>
        </w:rPr>
        <w:t xml:space="preserve"> поступающие в бюджет денежные средства, за исключением средств, являющихся в соответствии с Бюджетным кодексом Российской Федерации источниками финансирования дефицита бюджета.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Расходы бюджета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выплачиваемые из бюджета денежные средства, за исключением средств, являющихся в соответствии с </w:t>
      </w:r>
      <w:r w:rsidRPr="003E4B3D">
        <w:rPr>
          <w:rFonts w:ascii="Times New Roman" w:hAnsi="Times New Roman"/>
          <w:bCs/>
          <w:iCs/>
          <w:sz w:val="28"/>
          <w:szCs w:val="28"/>
        </w:rPr>
        <w:t xml:space="preserve">Бюджетным кодексом Российской Федерации </w:t>
      </w:r>
      <w:r w:rsidRPr="003E4B3D">
        <w:rPr>
          <w:rFonts w:ascii="Times New Roman" w:hAnsi="Times New Roman"/>
          <w:sz w:val="28"/>
          <w:szCs w:val="28"/>
        </w:rPr>
        <w:t>источниками финансирования дефицита бюджета.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Дефицит бюджета – </w:t>
      </w:r>
      <w:r w:rsidRPr="003E4B3D">
        <w:rPr>
          <w:rFonts w:ascii="Times New Roman" w:hAnsi="Times New Roman"/>
          <w:sz w:val="28"/>
          <w:szCs w:val="28"/>
        </w:rPr>
        <w:t>превышение расходов бюджета над его доходами.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E4B3D">
        <w:rPr>
          <w:rFonts w:ascii="Times New Roman" w:hAnsi="Times New Roman"/>
          <w:b/>
          <w:sz w:val="28"/>
          <w:szCs w:val="28"/>
        </w:rPr>
        <w:t>Профицит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бюджета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превышение доходов бюджета над его расходами.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bCs/>
          <w:iCs/>
          <w:sz w:val="28"/>
          <w:szCs w:val="28"/>
        </w:rPr>
        <w:t>М</w:t>
      </w:r>
      <w:r w:rsidRPr="003E4B3D">
        <w:rPr>
          <w:rFonts w:ascii="Times New Roman" w:hAnsi="Times New Roman"/>
          <w:b/>
          <w:sz w:val="28"/>
          <w:szCs w:val="28"/>
        </w:rPr>
        <w:t>ежбюджетные отношения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взаимоотношения между публично-правовыми образованиями по вопросам регулирования бюджетных правоотношений, организации и осуществления бюджетного процесса.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средства, предоставляемые одним бюджетом бюджетной системы Российской Федерации другому бюджету бюджетной системы Российской Федерации.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Текущий финансовый год </w:t>
      </w:r>
      <w:r w:rsidRPr="003E4B3D">
        <w:rPr>
          <w:rFonts w:ascii="Times New Roman" w:hAnsi="Times New Roman"/>
          <w:sz w:val="28"/>
          <w:szCs w:val="28"/>
        </w:rPr>
        <w:t>–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Очередной финансовый год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год, следующий за текущим финансовым годом.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Плановый период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два финансовых года, следующие за очередным финансовым годом.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Отчетный финансовый год –</w:t>
      </w:r>
      <w:r w:rsidRPr="003E4B3D">
        <w:rPr>
          <w:rFonts w:ascii="Times New Roman" w:hAnsi="Times New Roman"/>
          <w:sz w:val="28"/>
          <w:szCs w:val="28"/>
        </w:rPr>
        <w:t xml:space="preserve"> год, предшествующий текущему финансовому году.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Публичные слушания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форма реализации прав населения муниципального образования (общественности)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вопросов.  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lastRenderedPageBreak/>
        <w:t>1.2. Нормативно-правовая база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Составление, рассмотрение, утверждение и исполнение местного бюджета осуществляется в соответствии с Бюджетным кодексом РФ,   Законом Саратовской области от 16 января 2008 года № 3-ЗСО «О бюджетном процессе в Саратовской области», Уставом </w:t>
      </w:r>
      <w:proofErr w:type="spellStart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Энгельсского</w:t>
      </w:r>
      <w:proofErr w:type="spellEnd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района, Решением Собрания депутатов </w:t>
      </w:r>
      <w:proofErr w:type="spellStart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Энгельсского</w:t>
      </w:r>
      <w:proofErr w:type="spellEnd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20 декабря 2012 года № 363/41-04 «Об утверждении Положения о бюджетном процессе в </w:t>
      </w:r>
      <w:proofErr w:type="spellStart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Энгельсском</w:t>
      </w:r>
      <w:proofErr w:type="spellEnd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муниципальном районе», а также ежегодно принимаемыми</w:t>
      </w:r>
      <w:proofErr w:type="gramEnd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Законом Саратовской области  «Об областном бюджете на очередной финансовый год и на плановый период» и Решением Собрания депутатов </w:t>
      </w:r>
      <w:proofErr w:type="spellStart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Энгельсского</w:t>
      </w:r>
      <w:proofErr w:type="spellEnd"/>
      <w:r w:rsidRPr="003E4B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района «О бюджете на очередной финансовый год и на плановый период».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1.3. Основные сведения о межбюджетных отношениях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left="1571"/>
        <w:jc w:val="center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Межбюджетные отношения</w:t>
      </w:r>
      <w:r w:rsidRPr="003E4B3D">
        <w:rPr>
          <w:rFonts w:ascii="Times New Roman" w:hAnsi="Times New Roman"/>
          <w:sz w:val="28"/>
          <w:szCs w:val="28"/>
        </w:rPr>
        <w:t xml:space="preserve"> в Саратовской области регулируются Законом Саратовской области от 20 декабря 2005 года № 137-ЗСО «О межбюджетных отношениях в Саратовской области», в соответствии с которым межбюджетные трансферты из областного бюджета местным бюджетам предоставляются в форме: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дотаций на выравнивание бюджетной обеспеченности;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субсидий;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субвенций для реализации </w:t>
      </w:r>
      <w:proofErr w:type="gramStart"/>
      <w:r w:rsidRPr="003E4B3D">
        <w:rPr>
          <w:rFonts w:ascii="Times New Roman" w:hAnsi="Times New Roman"/>
          <w:sz w:val="28"/>
          <w:szCs w:val="28"/>
        </w:rPr>
        <w:t>полномочий органов государственной власти субъектов Российской Федерации</w:t>
      </w:r>
      <w:proofErr w:type="gramEnd"/>
      <w:r w:rsidRPr="003E4B3D">
        <w:rPr>
          <w:rFonts w:ascii="Times New Roman" w:hAnsi="Times New Roman"/>
          <w:sz w:val="28"/>
          <w:szCs w:val="28"/>
        </w:rPr>
        <w:t>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иных межбюджетных трансфертов.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Объем и распределение межбюджетных трансфертов из областного бюджета между муниципальными образованиями утверждается ежегодно Законом Саратовской области «Об областном бюджете на очередной финансовый год и на плановый период».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Дотации – </w:t>
      </w:r>
      <w:r w:rsidRPr="003E4B3D">
        <w:rPr>
          <w:rFonts w:ascii="Times New Roman" w:hAnsi="Times New Roman"/>
          <w:sz w:val="28"/>
          <w:szCs w:val="28"/>
        </w:rPr>
        <w:t>межбюджетные трансферты, предоставляемые на безвозмездной и безвозвратной основе без установления направлений и (или) условий их использования.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 xml:space="preserve">Порядок и методика распределения </w:t>
      </w:r>
      <w:r w:rsidRPr="003E4B3D">
        <w:rPr>
          <w:rFonts w:ascii="Times New Roman" w:hAnsi="Times New Roman"/>
          <w:b/>
          <w:sz w:val="28"/>
          <w:szCs w:val="28"/>
        </w:rPr>
        <w:t>дотаций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на выравнивание бюджетной обеспеченности</w:t>
      </w:r>
      <w:r w:rsidRPr="003E4B3D">
        <w:rPr>
          <w:rFonts w:ascii="Times New Roman" w:hAnsi="Times New Roman"/>
          <w:sz w:val="28"/>
          <w:szCs w:val="28"/>
        </w:rPr>
        <w:t xml:space="preserve"> муниципальных районов утверждены Законом Саратовской области от 20 декабря 2005 года № 137-ЗСО «О межбюджетных отношениях в Саратовской области», согласно которого дотации на выравнивание бюджетной обеспеченности муниципальных районов предоставляются муниципальным районам, уровень бюджетной обеспеченности которых не превышает уровень расчетной бюджетной обеспеченности муниципальных районов, определенный в качестве критерия выравнивания расчетной бюджетной обеспеченности, исходя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из численности жителей муниципального района. Непосредственный расчет объема дотаций по каждому муниципальному району осуществляется Министерством финансов Саратовской области. Кроме того, часть дотации на выравнивание бюджетной обеспеченности может быть заменена </w:t>
      </w:r>
      <w:r w:rsidRPr="003E4B3D">
        <w:rPr>
          <w:rFonts w:ascii="Times New Roman" w:hAnsi="Times New Roman"/>
          <w:sz w:val="28"/>
          <w:szCs w:val="28"/>
        </w:rPr>
        <w:lastRenderedPageBreak/>
        <w:t xml:space="preserve">едиными или дополнительными нормативами отчислений от налога на доходы физических лиц, которые рассчитываются по единым принципам в соответствии с методикой, утвержденной вышеуказанным областным законом и не могут быть изменены в течение финансового года. </w:t>
      </w:r>
      <w:r w:rsidRPr="003E4B3D">
        <w:rPr>
          <w:rFonts w:ascii="Times New Roman" w:hAnsi="Times New Roman"/>
          <w:b/>
          <w:sz w:val="28"/>
          <w:szCs w:val="28"/>
        </w:rPr>
        <w:t>Дотации не имеют целевой направленности и наравне с налоговыми и неналоговыми доходами бюджета направляются на финансирование расходов, связанных с решением вопросов местного значения</w:t>
      </w:r>
      <w:r w:rsidRPr="003E4B3D">
        <w:rPr>
          <w:rFonts w:ascii="Times New Roman" w:hAnsi="Times New Roman"/>
          <w:sz w:val="28"/>
          <w:szCs w:val="28"/>
        </w:rPr>
        <w:t>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Субсидиями</w:t>
      </w:r>
      <w:r w:rsidRPr="003E4B3D">
        <w:t xml:space="preserve"> </w:t>
      </w:r>
      <w:r w:rsidRPr="003E4B3D">
        <w:rPr>
          <w:rFonts w:ascii="Times New Roman" w:hAnsi="Times New Roman"/>
          <w:sz w:val="28"/>
          <w:szCs w:val="28"/>
        </w:rPr>
        <w:t xml:space="preserve">являются межбюджетные трансферты, предоставляемые бюджетам муниципальных образований из областного бюджета в целях </w:t>
      </w:r>
      <w:proofErr w:type="spellStart"/>
      <w:r w:rsidRPr="003E4B3D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  <w:r w:rsidRPr="003E4B3D">
        <w:t xml:space="preserve"> </w:t>
      </w:r>
      <w:r w:rsidRPr="003E4B3D">
        <w:rPr>
          <w:rFonts w:ascii="Times New Roman" w:hAnsi="Times New Roman"/>
          <w:sz w:val="28"/>
          <w:szCs w:val="28"/>
        </w:rPr>
        <w:t xml:space="preserve">Цели и условия предоставления и расходования субсидий местным бюджетам из областного бюджета, критерии отбора муниципальных образований для предоставления указанных субсидий и методики их распределения между муниципальными образованиями устанавливаются Законами субъекта РФ и нормативными правовыми актами высшего исполнительного органа субъекта РФ. </w:t>
      </w:r>
      <w:r w:rsidRPr="003E4B3D">
        <w:rPr>
          <w:rFonts w:ascii="Times New Roman" w:hAnsi="Times New Roman"/>
          <w:b/>
          <w:sz w:val="28"/>
          <w:szCs w:val="28"/>
        </w:rPr>
        <w:t>Субсидии носят целевой характер и не подлежат направлению на иные цели</w:t>
      </w:r>
      <w:r w:rsidRPr="003E4B3D">
        <w:rPr>
          <w:rFonts w:ascii="Times New Roman" w:hAnsi="Times New Roman"/>
          <w:sz w:val="28"/>
          <w:szCs w:val="28"/>
        </w:rPr>
        <w:t>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b/>
          <w:sz w:val="28"/>
          <w:szCs w:val="28"/>
        </w:rPr>
        <w:t>Субвенциями</w:t>
      </w:r>
      <w:r w:rsidRPr="003E4B3D">
        <w:rPr>
          <w:rFonts w:ascii="Times New Roman" w:hAnsi="Times New Roman"/>
          <w:sz w:val="28"/>
          <w:szCs w:val="28"/>
        </w:rPr>
        <w:t xml:space="preserve"> являются межбюджетные трансферты, предоставляемые  местным бюджетам в целях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органами местного самоуправления в установленном порядке.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E4B3D">
        <w:rPr>
          <w:rFonts w:ascii="Times New Roman" w:hAnsi="Times New Roman"/>
          <w:sz w:val="28"/>
          <w:szCs w:val="28"/>
        </w:rPr>
        <w:t>Субвенции местным бюджетам из областного бюджета распределяются между всеми муниципальными образованиями области в соответствии с едиными для каждого вида субвенций методиками, утверждаемыми законами субъекта РФ, либо в соответствии с нормативными правовыми актами федеральных органов государственной власти, если субвенции предоставляются из федерального бюджета.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Субвенции носят целевой характер и не подлежат направлению на иные цели</w:t>
      </w:r>
      <w:r w:rsidRPr="003E4B3D">
        <w:rPr>
          <w:rFonts w:ascii="Times New Roman" w:hAnsi="Times New Roman"/>
          <w:sz w:val="28"/>
          <w:szCs w:val="28"/>
        </w:rPr>
        <w:t>.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 xml:space="preserve">В случаях и порядке, предусмотренных Законами Саратовской области и иными нормативными правовыми актами органов государственной власти Саратовской области, местным бюджетам могут быть предоставлены </w:t>
      </w:r>
      <w:r w:rsidRPr="003E4B3D">
        <w:rPr>
          <w:rFonts w:ascii="Times New Roman" w:hAnsi="Times New Roman"/>
          <w:b/>
          <w:sz w:val="28"/>
          <w:szCs w:val="28"/>
        </w:rPr>
        <w:t>иные межбюджетные трансферты</w:t>
      </w:r>
      <w:r w:rsidRPr="003E4B3D">
        <w:rPr>
          <w:rFonts w:ascii="Times New Roman" w:hAnsi="Times New Roman"/>
          <w:sz w:val="28"/>
          <w:szCs w:val="28"/>
        </w:rPr>
        <w:t xml:space="preserve"> из областного бюджета, которые </w:t>
      </w:r>
      <w:r w:rsidRPr="003E4B3D">
        <w:rPr>
          <w:rFonts w:ascii="Times New Roman" w:hAnsi="Times New Roman"/>
          <w:b/>
          <w:sz w:val="28"/>
          <w:szCs w:val="28"/>
        </w:rPr>
        <w:t>могут иметь как целевой характер, так и предоставляться в виде дотации на поддержку мер по обеспечению сбалансированности местных бюджетов без целевой направленности</w:t>
      </w:r>
      <w:r w:rsidRPr="003E4B3D">
        <w:rPr>
          <w:rFonts w:ascii="Times New Roman" w:hAnsi="Times New Roman"/>
          <w:sz w:val="28"/>
          <w:szCs w:val="28"/>
        </w:rPr>
        <w:t>.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обязательств, который определяет объемы средств местного бюджета, </w:t>
      </w:r>
      <w:r w:rsidRPr="003E4B3D">
        <w:rPr>
          <w:rFonts w:ascii="Times New Roman" w:hAnsi="Times New Roman"/>
          <w:sz w:val="28"/>
          <w:szCs w:val="28"/>
        </w:rPr>
        <w:lastRenderedPageBreak/>
        <w:t xml:space="preserve">необходимых для исполнения расходных обязательств района по вопросам местного значения и переданных полномочий.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3E4B3D">
        <w:rPr>
          <w:rFonts w:ascii="Times New Roman" w:hAnsi="Times New Roman"/>
          <w:sz w:val="28"/>
          <w:szCs w:val="28"/>
        </w:rPr>
        <w:t xml:space="preserve"> из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бюджетам поселений, входящим в состав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района, предоставляются в форме: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дотаций на выравнивание бюджетной обеспеченности поселений;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иных межбюджетных трансфертов.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Дотации на выравнивание бюджетной обеспеченности поселений</w:t>
      </w:r>
      <w:r w:rsidRPr="003E4B3D">
        <w:rPr>
          <w:rFonts w:ascii="Times New Roman" w:hAnsi="Times New Roman"/>
          <w:sz w:val="28"/>
          <w:szCs w:val="28"/>
        </w:rPr>
        <w:t xml:space="preserve"> составляют районный фонд финансовой поддержки поселений. </w:t>
      </w:r>
      <w:proofErr w:type="gramStart"/>
      <w:r w:rsidRPr="003E4B3D">
        <w:rPr>
          <w:rFonts w:ascii="Times New Roman" w:hAnsi="Times New Roman"/>
          <w:sz w:val="28"/>
          <w:szCs w:val="28"/>
        </w:rPr>
        <w:t xml:space="preserve">Районный фонд финансовой поддержки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создается в составе расходной части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Саратовской области от 20 декабря 2005 года № 137-ЗСО «О межбюджетных отношениях в Саратовской области» и Решением Собрания депутатов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от 25 сентября 2008 года № 634/49-03 «Об утверждении Положения о районном фонде финансовой поддержки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района».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 xml:space="preserve">Дотации из районного фонда финансовой поддержки поселений формируются за счет собственных доходов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и определяются в порядке, определенном приложением 6 Закона Саратовской области от 20 декабря 2005 года № 137-ЗСО «О межбюджетных отношениях в Саратовской области», и предоставляются тем поселениям, расчетная бюджетная обеспеченность которых не превышает уровень, установленный в качестве критерия выравнивания расчетной бюджетной обеспеченности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района. Бюджетная обеспеченность поселений рассчитывается исходя из оценки доходов, которые могут быть получены бюджетом поселения, и оценки индекса бюджетных расходов, необходимых на осуществление полномочий по решению вопросов местного значения в отдельном поселении в расчете на одного жителя. </w:t>
      </w:r>
      <w:r w:rsidRPr="003E4B3D">
        <w:rPr>
          <w:rFonts w:ascii="Times New Roman" w:hAnsi="Times New Roman"/>
          <w:sz w:val="28"/>
          <w:szCs w:val="28"/>
        </w:rPr>
        <w:tab/>
        <w:t xml:space="preserve">Предоставление </w:t>
      </w:r>
      <w:r w:rsidRPr="003E4B3D">
        <w:rPr>
          <w:rFonts w:ascii="Times New Roman" w:hAnsi="Times New Roman"/>
          <w:b/>
          <w:sz w:val="28"/>
          <w:szCs w:val="28"/>
        </w:rPr>
        <w:t>иных межбюджетных трансфертов</w:t>
      </w:r>
      <w:r w:rsidRPr="003E4B3D">
        <w:rPr>
          <w:rFonts w:ascii="Times New Roman" w:hAnsi="Times New Roman"/>
          <w:sz w:val="28"/>
          <w:szCs w:val="28"/>
        </w:rPr>
        <w:t xml:space="preserve"> из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осуществляется в соответствии со статьей 142.4 Бюджетного кодекса Российской Федерации и Решением Собрания депутатов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от 27 ноября 2008 года № 677/53-03 «Об утверждении Положения о предоставлении иных межбюджетных трансфертов из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района».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 xml:space="preserve">Иные межбюджетные трансферты предусматриваются  на дополнительное финансовое обеспечение расходных обязательств поселений, возникающих при выполнении полномочий, установленных статьей 14 Федерального Закона от 6 октября 2003 года № 131-ФЗ «Об общих принципах организации местного самоуправления в Российской Федерации» и Законом Саратовской области от 30 сентября 2014 года № </w:t>
      </w:r>
      <w:r w:rsidRPr="003E4B3D">
        <w:rPr>
          <w:rFonts w:ascii="Times New Roman" w:hAnsi="Times New Roman"/>
          <w:sz w:val="28"/>
          <w:szCs w:val="28"/>
        </w:rPr>
        <w:lastRenderedPageBreak/>
        <w:t>108-ЗСО «О вопросах местного значения сельских поселений Саратовской области».</w:t>
      </w:r>
      <w:proofErr w:type="gramEnd"/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rPr>
          <w:rFonts w:ascii="Times New Roman" w:hAnsi="Times New Roman"/>
          <w:sz w:val="26"/>
          <w:szCs w:val="26"/>
        </w:rPr>
      </w:pPr>
      <w:r w:rsidRPr="003E4B3D">
        <w:rPr>
          <w:rFonts w:ascii="Times New Roman" w:hAnsi="Times New Roman"/>
          <w:b/>
          <w:sz w:val="28"/>
          <w:szCs w:val="28"/>
        </w:rPr>
        <w:tab/>
        <w:t xml:space="preserve">1.4. Административно-территориальное деление 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6"/>
          <w:szCs w:val="26"/>
        </w:rPr>
        <w:tab/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Энгельсский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муниципальный район состоит из пяти муниципальных образований: 1 </w:t>
      </w:r>
      <w:proofErr w:type="gramStart"/>
      <w:r w:rsidRPr="003E4B3D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и 4 сельских поселений. Территория муниципального района заключается в границах, закрепленных действующим административно-территориальным устройством Саратовской области, площадью – 3 232,52 км</w:t>
      </w:r>
      <w:proofErr w:type="gramStart"/>
      <w:r w:rsidRPr="003E4B3D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. Административный центр района – город Энгельс, с числом жителей 264 211 чел. (по оценке на 1 января 2019 года). В границы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входят: 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ab/>
      </w:r>
      <w:proofErr w:type="gramStart"/>
      <w:r w:rsidRPr="003E4B3D">
        <w:rPr>
          <w:rFonts w:ascii="Times New Roman" w:hAnsi="Times New Roman"/>
          <w:sz w:val="28"/>
          <w:szCs w:val="28"/>
        </w:rPr>
        <w:t xml:space="preserve">– муниципальное образование </w:t>
      </w:r>
      <w:r w:rsidRPr="003E4B3D">
        <w:rPr>
          <w:rFonts w:ascii="Times New Roman" w:hAnsi="Times New Roman"/>
          <w:b/>
          <w:sz w:val="28"/>
          <w:szCs w:val="28"/>
        </w:rPr>
        <w:t>город Энгельс</w:t>
      </w:r>
      <w:r w:rsidRPr="003E4B3D">
        <w:rPr>
          <w:rFonts w:ascii="Times New Roman" w:hAnsi="Times New Roman"/>
          <w:sz w:val="28"/>
          <w:szCs w:val="28"/>
        </w:rPr>
        <w:t xml:space="preserve">: (город Энгельс; поселок Плодосовхоз; поселок Прибрежный; рабочий поселок Приволжский; поселок Геофизик;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Квасниковка</w:t>
      </w:r>
      <w:proofErr w:type="spellEnd"/>
      <w:r w:rsidRPr="003E4B3D">
        <w:rPr>
          <w:rFonts w:ascii="Times New Roman" w:hAnsi="Times New Roman"/>
          <w:sz w:val="28"/>
          <w:szCs w:val="28"/>
        </w:rPr>
        <w:t>; поселок Новоселово);</w:t>
      </w:r>
      <w:proofErr w:type="gramEnd"/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3E4B3D">
        <w:rPr>
          <w:rFonts w:ascii="Times New Roman" w:hAnsi="Times New Roman"/>
          <w:b/>
          <w:sz w:val="28"/>
          <w:szCs w:val="28"/>
        </w:rPr>
        <w:t>Безымянское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муниципальное образование</w:t>
      </w:r>
      <w:r w:rsidRPr="003E4B3D">
        <w:rPr>
          <w:rFonts w:ascii="Times New Roman" w:hAnsi="Times New Roman"/>
          <w:sz w:val="28"/>
          <w:szCs w:val="28"/>
        </w:rPr>
        <w:t xml:space="preserve">: (село Безымянное; поселок Бурный;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Воскресенка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Заветы Ильича; село Зеленый Дол; поселок Калинино;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Кирово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Красный Партизан; поселок Лебедево; поселок Межевой; село Новая Каменка;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Новочарлык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Первомайское;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Прилужный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Солонцово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Тарлык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станция </w:t>
      </w:r>
      <w:proofErr w:type="spellStart"/>
      <w:r w:rsidRPr="003E4B3D">
        <w:rPr>
          <w:rFonts w:ascii="Times New Roman" w:hAnsi="Times New Roman"/>
          <w:sz w:val="28"/>
          <w:szCs w:val="28"/>
        </w:rPr>
        <w:t>Титоренко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Шевченко;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Широкополье</w:t>
      </w:r>
      <w:proofErr w:type="spellEnd"/>
      <w:r w:rsidRPr="003E4B3D">
        <w:rPr>
          <w:rFonts w:ascii="Times New Roman" w:hAnsi="Times New Roman"/>
          <w:sz w:val="28"/>
          <w:szCs w:val="28"/>
        </w:rPr>
        <w:t>);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3E4B3D">
        <w:rPr>
          <w:rFonts w:ascii="Times New Roman" w:hAnsi="Times New Roman"/>
          <w:b/>
          <w:sz w:val="28"/>
          <w:szCs w:val="28"/>
        </w:rPr>
        <w:t>Новопушкинское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муниципальное образование</w:t>
      </w:r>
      <w:r w:rsidRPr="003E4B3D">
        <w:rPr>
          <w:rFonts w:ascii="Times New Roman" w:hAnsi="Times New Roman"/>
          <w:sz w:val="28"/>
          <w:szCs w:val="28"/>
        </w:rPr>
        <w:t xml:space="preserve">: (поселок Коминтерн;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Голубьевка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Придорожный; поселок Пробуждение;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Новопушкинское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Анисовский</w:t>
      </w:r>
      <w:proofErr w:type="spellEnd"/>
      <w:r w:rsidRPr="003E4B3D">
        <w:rPr>
          <w:rFonts w:ascii="Times New Roman" w:hAnsi="Times New Roman"/>
          <w:sz w:val="28"/>
          <w:szCs w:val="28"/>
        </w:rPr>
        <w:t>; поселок Долинный; поселок имени Карла Маркса; станция Лебедево; поселок Лощинный);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ab/>
        <w:t xml:space="preserve">– </w:t>
      </w:r>
      <w:r w:rsidRPr="003E4B3D">
        <w:rPr>
          <w:rFonts w:ascii="Times New Roman" w:hAnsi="Times New Roman"/>
          <w:b/>
          <w:sz w:val="28"/>
          <w:szCs w:val="28"/>
        </w:rPr>
        <w:t>Красноярское муниципальное образование</w:t>
      </w:r>
      <w:r w:rsidRPr="003E4B3D">
        <w:rPr>
          <w:rFonts w:ascii="Times New Roman" w:hAnsi="Times New Roman"/>
          <w:sz w:val="28"/>
          <w:szCs w:val="28"/>
        </w:rPr>
        <w:t xml:space="preserve">: (село Красный Яр; поселок Взлетный; село Генеральское; поселок Дом отдыха "Ударник"; село Ленинское;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Липовка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Малая </w:t>
      </w:r>
      <w:proofErr w:type="spellStart"/>
      <w:r w:rsidRPr="003E4B3D">
        <w:rPr>
          <w:rFonts w:ascii="Times New Roman" w:hAnsi="Times New Roman"/>
          <w:sz w:val="28"/>
          <w:szCs w:val="28"/>
        </w:rPr>
        <w:t>Тополевка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Овражный; село Осиновка; село Подстепное;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Старицкое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Усть-Караман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Шумейка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поселок </w:t>
      </w:r>
      <w:proofErr w:type="spellStart"/>
      <w:r w:rsidRPr="003E4B3D">
        <w:rPr>
          <w:rFonts w:ascii="Times New Roman" w:hAnsi="Times New Roman"/>
          <w:sz w:val="28"/>
          <w:szCs w:val="28"/>
        </w:rPr>
        <w:t>Ясеновка</w:t>
      </w:r>
      <w:proofErr w:type="spellEnd"/>
      <w:r w:rsidRPr="003E4B3D">
        <w:rPr>
          <w:rFonts w:ascii="Times New Roman" w:hAnsi="Times New Roman"/>
          <w:sz w:val="28"/>
          <w:szCs w:val="28"/>
        </w:rPr>
        <w:t>);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3E4B3D">
        <w:rPr>
          <w:rFonts w:ascii="Times New Roman" w:hAnsi="Times New Roman"/>
          <w:b/>
          <w:sz w:val="28"/>
          <w:szCs w:val="28"/>
        </w:rPr>
        <w:t>Терновское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муниципальное образование</w:t>
      </w:r>
      <w:r w:rsidRPr="003E4B3D">
        <w:rPr>
          <w:rFonts w:ascii="Times New Roman" w:hAnsi="Times New Roman"/>
          <w:sz w:val="28"/>
          <w:szCs w:val="28"/>
        </w:rPr>
        <w:t xml:space="preserve">: (село Терновка; село Березовка;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Зауморье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Красноармейское; село Новая Терновка; село Подгорное;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Смеловка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; село Степное; село </w:t>
      </w:r>
      <w:proofErr w:type="spellStart"/>
      <w:r w:rsidRPr="003E4B3D">
        <w:rPr>
          <w:rFonts w:ascii="Times New Roman" w:hAnsi="Times New Roman"/>
          <w:sz w:val="28"/>
          <w:szCs w:val="28"/>
        </w:rPr>
        <w:t>Узморье</w:t>
      </w:r>
      <w:proofErr w:type="spellEnd"/>
      <w:r w:rsidRPr="003E4B3D">
        <w:rPr>
          <w:rFonts w:ascii="Times New Roman" w:hAnsi="Times New Roman"/>
          <w:sz w:val="28"/>
          <w:szCs w:val="28"/>
        </w:rPr>
        <w:t>).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1.5. Основные показатели социально-экономического развития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Основные показатели социально-экономического развития экономики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в соответствии прогнозом социально-экономического развития на 2020, 2021 и 2022 годы являются основой для формирования местного бюджета на 2020 год и плановый период 2021 и 2022 годов, и представлены в таблице 1:</w:t>
      </w:r>
    </w:p>
    <w:p w:rsidR="00C97575" w:rsidRPr="003E4B3D" w:rsidRDefault="00C97575" w:rsidP="00C97575">
      <w:pPr>
        <w:tabs>
          <w:tab w:val="left" w:pos="8025"/>
        </w:tabs>
        <w:autoSpaceDE w:val="0"/>
        <w:autoSpaceDN w:val="0"/>
        <w:adjustRightInd w:val="0"/>
        <w:spacing w:after="0" w:line="240" w:lineRule="auto"/>
        <w:ind w:left="1571"/>
        <w:rPr>
          <w:rFonts w:ascii="Times New Roman" w:hAnsi="Times New Roman"/>
        </w:rPr>
      </w:pPr>
      <w:r w:rsidRPr="003E4B3D">
        <w:rPr>
          <w:rFonts w:ascii="Times New Roman" w:hAnsi="Times New Roman"/>
          <w:b/>
          <w:sz w:val="28"/>
          <w:szCs w:val="28"/>
        </w:rPr>
        <w:tab/>
      </w:r>
      <w:r w:rsidRPr="003E4B3D">
        <w:rPr>
          <w:rFonts w:ascii="Times New Roman" w:hAnsi="Times New Roman"/>
        </w:rPr>
        <w:t>Таблица 1</w:t>
      </w:r>
    </w:p>
    <w:tbl>
      <w:tblPr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992"/>
        <w:gridCol w:w="992"/>
        <w:gridCol w:w="992"/>
        <w:gridCol w:w="942"/>
        <w:gridCol w:w="940"/>
        <w:gridCol w:w="940"/>
      </w:tblGrid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Наименование  показателя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Ед. </w:t>
            </w:r>
            <w:proofErr w:type="spellStart"/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измер</w:t>
            </w:r>
            <w:proofErr w:type="spellEnd"/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2019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2020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2021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2022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Объем отгруженных товаров собственного производства, </w:t>
            </w: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lastRenderedPageBreak/>
              <w:t>выполненных работ и услуг собственными силами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lastRenderedPageBreak/>
              <w:t>млрд.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65,3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71,6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82,9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92,5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lastRenderedPageBreak/>
              <w:t>Объем производства подакцизных товаров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тыс. </w:t>
            </w:r>
            <w:proofErr w:type="spellStart"/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дкл</w:t>
            </w:r>
            <w:proofErr w:type="spellEnd"/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29,0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29,0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29,0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29,0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Объем валовой продукции сельского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млрд.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9,1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9,6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10,1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10,8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Оборот розничной торговли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млрд.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37,6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39,7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42,3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45,1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Фонд оплаты труда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млрд.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26,9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28,4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30,4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32,6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Численность </w:t>
            </w:r>
            <w:proofErr w:type="gramStart"/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работающих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тыс. чел.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76,3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76,3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76,4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76,5</w:t>
            </w:r>
          </w:p>
        </w:tc>
      </w:tr>
      <w:tr w:rsidR="00C97575" w:rsidRPr="003E4B3D" w:rsidTr="00165E96">
        <w:tc>
          <w:tcPr>
            <w:tcW w:w="3369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Среднемесячная заработная плата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тыс.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28,6</w:t>
            </w:r>
          </w:p>
        </w:tc>
        <w:tc>
          <w:tcPr>
            <w:tcW w:w="94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30,2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32,3</w:t>
            </w:r>
          </w:p>
        </w:tc>
        <w:tc>
          <w:tcPr>
            <w:tcW w:w="940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34,5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уровень безработицы на 01.01.2019 года – 0,5%, на 01.10.2019 года – 0,5%;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прожиточный минимум на душу населения (по Саратовской области) за </w:t>
      </w:r>
      <w:r w:rsidRPr="003E4B3D">
        <w:rPr>
          <w:rFonts w:ascii="Times New Roman" w:hAnsi="Times New Roman"/>
          <w:sz w:val="28"/>
          <w:szCs w:val="28"/>
          <w:lang w:val="en-US"/>
        </w:rPr>
        <w:t>IV</w:t>
      </w:r>
      <w:r w:rsidRPr="003E4B3D">
        <w:rPr>
          <w:rFonts w:ascii="Times New Roman" w:hAnsi="Times New Roman"/>
          <w:sz w:val="28"/>
          <w:szCs w:val="28"/>
        </w:rPr>
        <w:t xml:space="preserve"> квартал 2018 года – 8 599 рубля, за </w:t>
      </w:r>
      <w:r w:rsidRPr="003E4B3D">
        <w:rPr>
          <w:rFonts w:ascii="Times New Roman" w:hAnsi="Times New Roman"/>
          <w:sz w:val="28"/>
          <w:szCs w:val="28"/>
          <w:lang w:val="en-US"/>
        </w:rPr>
        <w:t>II</w:t>
      </w:r>
      <w:r w:rsidRPr="003E4B3D">
        <w:rPr>
          <w:rFonts w:ascii="Times New Roman" w:hAnsi="Times New Roman"/>
          <w:sz w:val="28"/>
          <w:szCs w:val="28"/>
        </w:rPr>
        <w:t xml:space="preserve"> квартал 2019 года –     9 521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минимальная заработная плата с 1 января 2019 года – 11 280 рублей в месяц.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 xml:space="preserve">– Численность и состав постоянного населения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представлены в таблице 2:</w:t>
      </w:r>
      <w:proofErr w:type="gramEnd"/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</w:rPr>
        <w:t xml:space="preserve">      Таблица 2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992"/>
        <w:gridCol w:w="1134"/>
        <w:gridCol w:w="1134"/>
        <w:gridCol w:w="1134"/>
        <w:gridCol w:w="1134"/>
        <w:gridCol w:w="1134"/>
        <w:gridCol w:w="992"/>
      </w:tblGrid>
      <w:tr w:rsidR="00C97575" w:rsidRPr="003E4B3D" w:rsidTr="00165E96">
        <w:tc>
          <w:tcPr>
            <w:tcW w:w="1668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Наименование  показателя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 xml:space="preserve">Ед. </w:t>
            </w:r>
            <w:proofErr w:type="spellStart"/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измер</w:t>
            </w:r>
            <w:proofErr w:type="spellEnd"/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992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2022</w:t>
            </w:r>
          </w:p>
        </w:tc>
      </w:tr>
      <w:tr w:rsidR="00C97575" w:rsidRPr="003E4B3D" w:rsidTr="00165E96">
        <w:tc>
          <w:tcPr>
            <w:tcW w:w="1668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>Численность постоянного населения на 1 января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pacing w:val="-4"/>
                <w:sz w:val="23"/>
                <w:szCs w:val="23"/>
              </w:rPr>
              <w:t>тыс. чел.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309 938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308 915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308 915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308 915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tabs>
                <w:tab w:val="left" w:pos="342"/>
              </w:tabs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308 915</w:t>
            </w:r>
          </w:p>
        </w:tc>
        <w:tc>
          <w:tcPr>
            <w:tcW w:w="992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308 915</w:t>
            </w:r>
          </w:p>
        </w:tc>
      </w:tr>
      <w:tr w:rsidR="00C97575" w:rsidRPr="003E4B3D" w:rsidTr="00165E96">
        <w:tc>
          <w:tcPr>
            <w:tcW w:w="1668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- в </w:t>
            </w:r>
            <w:proofErr w:type="spellStart"/>
            <w:proofErr w:type="gramStart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>трудоспособ-ном</w:t>
            </w:r>
            <w:proofErr w:type="spellEnd"/>
            <w:proofErr w:type="gramEnd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возрасте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pacing w:val="-13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pacing w:val="-13"/>
                <w:sz w:val="23"/>
                <w:szCs w:val="23"/>
              </w:rPr>
              <w:t xml:space="preserve">тыс. </w:t>
            </w:r>
          </w:p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pacing w:val="-13"/>
                <w:sz w:val="23"/>
                <w:szCs w:val="23"/>
              </w:rPr>
              <w:t>чел.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177 672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992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</w:tr>
      <w:tr w:rsidR="00C97575" w:rsidRPr="003E4B3D" w:rsidTr="00165E96">
        <w:trPr>
          <w:trHeight w:val="762"/>
        </w:trPr>
        <w:tc>
          <w:tcPr>
            <w:tcW w:w="1668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- моложе </w:t>
            </w:r>
            <w:proofErr w:type="spellStart"/>
            <w:proofErr w:type="gramStart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>трудоспособ-ного</w:t>
            </w:r>
            <w:proofErr w:type="spellEnd"/>
            <w:proofErr w:type="gramEnd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возраста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pacing w:val="-3"/>
                <w:sz w:val="23"/>
                <w:szCs w:val="23"/>
              </w:rPr>
              <w:t>тыс. чел.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51 589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51 436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51 436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992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</w:tr>
      <w:tr w:rsidR="00C97575" w:rsidRPr="003E4B3D" w:rsidTr="00165E96">
        <w:tc>
          <w:tcPr>
            <w:tcW w:w="1668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- старше </w:t>
            </w:r>
            <w:proofErr w:type="spellStart"/>
            <w:proofErr w:type="gramStart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>трудоспособ-ного</w:t>
            </w:r>
            <w:proofErr w:type="spellEnd"/>
            <w:proofErr w:type="gramEnd"/>
            <w:r w:rsidRPr="003E4B3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возраста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color w:val="000000"/>
                <w:spacing w:val="-3"/>
                <w:sz w:val="23"/>
                <w:szCs w:val="23"/>
              </w:rPr>
              <w:t>тыс. чел.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80 677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82 116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82 116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  <w:tc>
          <w:tcPr>
            <w:tcW w:w="992" w:type="dxa"/>
            <w:vAlign w:val="center"/>
          </w:tcPr>
          <w:p w:rsidR="00C97575" w:rsidRPr="003E4B3D" w:rsidRDefault="00C97575" w:rsidP="00165E9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E4B3D">
              <w:rPr>
                <w:rFonts w:ascii="Times New Roman" w:hAnsi="Times New Roman"/>
                <w:sz w:val="23"/>
                <w:szCs w:val="23"/>
              </w:rPr>
              <w:t>175 363</w:t>
            </w:r>
          </w:p>
        </w:tc>
      </w:tr>
    </w:tbl>
    <w:p w:rsidR="00C97575" w:rsidRPr="003E4B3D" w:rsidRDefault="00C97575" w:rsidP="00C97575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1.6. Организация и проведение публичных слушаний</w:t>
      </w:r>
    </w:p>
    <w:p w:rsidR="00C97575" w:rsidRPr="003E4B3D" w:rsidRDefault="00C97575" w:rsidP="00C97575">
      <w:pPr>
        <w:spacing w:after="0" w:line="240" w:lineRule="auto"/>
        <w:ind w:left="157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hAnsi="Times New Roman"/>
          <w:sz w:val="28"/>
          <w:szCs w:val="28"/>
        </w:rPr>
        <w:tab/>
      </w:r>
      <w:proofErr w:type="gramStart"/>
      <w:r w:rsidRPr="003E4B3D">
        <w:rPr>
          <w:rFonts w:ascii="Times New Roman" w:hAnsi="Times New Roman"/>
          <w:sz w:val="28"/>
          <w:szCs w:val="28"/>
        </w:rPr>
        <w:t xml:space="preserve"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10 Устава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района, Решением Собрания депутатов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23 апреля 2012 г. № 251/27-04 «Об утверждении Положения о порядке организации и проведения публичных слушаний в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Энгельсском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муниципальном районе», </w:t>
      </w:r>
      <w:r w:rsidRPr="003E4B3D">
        <w:rPr>
          <w:rFonts w:ascii="Times New Roman" w:hAnsi="Times New Roman"/>
          <w:sz w:val="28"/>
          <w:szCs w:val="28"/>
        </w:rPr>
        <w:lastRenderedPageBreak/>
        <w:t xml:space="preserve">проект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proofErr w:type="gram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должен выноситься на </w:t>
      </w:r>
      <w:r w:rsidRPr="003E4B3D">
        <w:rPr>
          <w:rFonts w:ascii="Times New Roman" w:hAnsi="Times New Roman"/>
          <w:b/>
          <w:sz w:val="28"/>
          <w:szCs w:val="28"/>
        </w:rPr>
        <w:t xml:space="preserve">публичные слушания, </w:t>
      </w:r>
      <w:r w:rsidRPr="003E4B3D">
        <w:rPr>
          <w:rFonts w:ascii="Times New Roman" w:hAnsi="Times New Roman"/>
          <w:sz w:val="28"/>
          <w:szCs w:val="28"/>
        </w:rPr>
        <w:t xml:space="preserve">что является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одной из форм непосредственного осуществления жителями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местного самоуправления.</w:t>
      </w:r>
    </w:p>
    <w:p w:rsidR="00C97575" w:rsidRPr="003E4B3D" w:rsidRDefault="00C97575" w:rsidP="00C9757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Проект районного бюджета на 2020 год и на плановый период 2021 и 2022 годов был рассмотрен на публичных слушаниях 8 ноября 2019 года. </w:t>
      </w:r>
    </w:p>
    <w:p w:rsidR="00C97575" w:rsidRPr="003E4B3D" w:rsidRDefault="00C97575" w:rsidP="00C9757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pStyle w:val="a3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2. ОБЩИЕ ХАРАКТЕРИСТИКИ БЮДЖЕТА</w:t>
      </w:r>
    </w:p>
    <w:p w:rsidR="00C97575" w:rsidRPr="003E4B3D" w:rsidRDefault="00C97575" w:rsidP="00C9757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pStyle w:val="a3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2.1.  Основные показатели бюджета</w:t>
      </w:r>
    </w:p>
    <w:p w:rsidR="00C97575" w:rsidRPr="003E4B3D" w:rsidRDefault="00C97575" w:rsidP="00C9757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 xml:space="preserve">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на 2020 год и на плановый период 2021 и 2022 годов подготовлен в соответствии с требованиями Бюджетного кодекса Российской Федерации, с учетом особенностей формирования консолидированного бюджета области на 2020 год и на плановый период 2021 и 2022 годов, рекомендованных к исполнению Министерством финансов Саратовской области.</w:t>
      </w:r>
    </w:p>
    <w:p w:rsidR="00C97575" w:rsidRPr="003E4B3D" w:rsidRDefault="00C97575" w:rsidP="00C97575">
      <w:pPr>
        <w:tabs>
          <w:tab w:val="left" w:pos="709"/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ab/>
        <w:t>На 2020 год утверждены о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сновные показатели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доходов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4 002 357,0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расходов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4 002 357,0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дефицит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0,0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C97575" w:rsidRPr="003E4B3D" w:rsidRDefault="00C97575" w:rsidP="00C97575">
      <w:pPr>
        <w:tabs>
          <w:tab w:val="left" w:pos="709"/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ab/>
        <w:t>На 2021 год утверждены о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сновные показатели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доходов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3 864 405,0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расходов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3 864 405,0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дефицит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0,0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C97575" w:rsidRPr="003E4B3D" w:rsidRDefault="00C97575" w:rsidP="00C97575">
      <w:pPr>
        <w:tabs>
          <w:tab w:val="left" w:pos="709"/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4"/>
          <w:lang w:eastAsia="ru-RU"/>
        </w:rPr>
        <w:tab/>
        <w:t>На 2022 год утверждены о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сновные показатели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доходов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4 102 216,0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общий объем расходов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4 102 216,0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– дефицит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0,0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2.2. Основные приоритеты бюджетной политики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При разработке основных направлений бюджетной политики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и на плановый период 2021 и 2022 годов (далее - бюджетная политика) учтена государственная политика Российской Федерации и Саратовской области в вопросах развития отраслей экономической и социальной сфер.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Основными приоритетами бюджетной политики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является обеспечение сбалансированности и устойчивости бюджета в условиях ограниченности финансовых ресурсов, так же как и в 2019 году – сохранение социальной направленности бюджета, предоставление качественных муниципальных услуг в сфере образования, культуры и спорта, исполнение расходных обяз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тельств, повышение эффективности бюджетных расходов.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lastRenderedPageBreak/>
        <w:t>Политика в области межбюджетных отношений будет направлена на выравнивание уровня бюджетной обеспеченности бюджетов поселений для финансового обеспечения первоочередных расходных обязательств, связанных с выполнением вопросов местного значения определенных Федеральным законом от 6 октября 2003 года № 131-ФЗ «Об общих принципах организации местного самоуправления в Российской Федерации» и Законом Саратовской области от 30 сентября 2014 года № 108-ЗСО «О вопросах местного значения сельских поселений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Саратовской области», исходя из финансовой возможности районного бюджета.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Налоговая политика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в 2020 году будет направлена на мобилизацию налоговых и неналоговых доходов бюджета района, на усиление администрирования налоговых и неналоговых платежей в бюджет.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 Структурными подразделениями и межведомственной комиссией по укреплению финансовой и налоговой дисциплины администрации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будет проводиться дальнейшая работа, направленная на усиление </w:t>
      </w:r>
      <w:proofErr w:type="gramStart"/>
      <w:r w:rsidRPr="003E4B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исполнением плательщиками обязательств по уплате налогов и неналоговых платежей, в особенности по </w:t>
      </w:r>
      <w:proofErr w:type="spellStart"/>
      <w:r w:rsidRPr="003E4B3D">
        <w:rPr>
          <w:rFonts w:ascii="Times New Roman" w:hAnsi="Times New Roman"/>
          <w:sz w:val="28"/>
          <w:szCs w:val="28"/>
        </w:rPr>
        <w:t>бюджетообразующим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доходам. Будет продолжена практика работы по </w:t>
      </w:r>
      <w:proofErr w:type="gramStart"/>
      <w:r w:rsidRPr="003E4B3D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администрированием доходов, усилению дисциплины платежей в бюджет по администраторам доходов.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Реализуемая бюджетная политика  будет решать следующие задачи: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устанавливать новые расходные обязательства только в </w:t>
      </w:r>
      <w:proofErr w:type="gramStart"/>
      <w:r w:rsidRPr="003E4B3D">
        <w:rPr>
          <w:rFonts w:ascii="Times New Roman" w:hAnsi="Times New Roman"/>
          <w:sz w:val="28"/>
          <w:szCs w:val="28"/>
        </w:rPr>
        <w:t>пределах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имеющихся для их реализации финансовых ресурсов;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повышать качество планирования главными распорядителями бюджетных средств ведомственных расходов и осуществлять оценку эффективности их использования. Расходование  бюджетных сре</w:t>
      </w:r>
      <w:proofErr w:type="gramStart"/>
      <w:r w:rsidRPr="003E4B3D">
        <w:rPr>
          <w:rFonts w:ascii="Times New Roman" w:hAnsi="Times New Roman"/>
          <w:sz w:val="28"/>
          <w:szCs w:val="28"/>
        </w:rPr>
        <w:t>дств  гл</w:t>
      </w:r>
      <w:proofErr w:type="gramEnd"/>
      <w:r w:rsidRPr="003E4B3D">
        <w:rPr>
          <w:rFonts w:ascii="Times New Roman" w:hAnsi="Times New Roman"/>
          <w:sz w:val="28"/>
          <w:szCs w:val="28"/>
        </w:rPr>
        <w:t>авными  распорядителями  должно сопровождаться содержательным  анализом достигнутых результатов;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переход к режиму жесткой экономии бюджетных средств, предполагающему достижение максимально возможного эффекта от каждого бюджетного рубля;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усиление финансового контроля со стороны главных распорядителей бюджетных средств и финансового органа;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 работа главных распорядителей бюджетных средств с отраслевыми министерствами и ведомствами по привлечению дополнительных средств вышестоящих бюджетов.</w:t>
      </w:r>
    </w:p>
    <w:p w:rsidR="00C97575" w:rsidRPr="003E4B3D" w:rsidRDefault="00C97575" w:rsidP="00C9757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3. ДОХОДЫ БЮДЖЕТА</w:t>
      </w:r>
    </w:p>
    <w:p w:rsidR="00C97575" w:rsidRPr="003E4B3D" w:rsidRDefault="00C97575" w:rsidP="00C9757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3.1. Планируемые поступления в бюджет на 2020 год в сравнении с 2019 годом</w:t>
      </w:r>
    </w:p>
    <w:p w:rsidR="00C97575" w:rsidRPr="003E4B3D" w:rsidRDefault="00C97575" w:rsidP="00C9757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C97575" w:rsidRPr="003E4B3D" w:rsidRDefault="00C97575" w:rsidP="00C9757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Доходы бюджета </w:t>
      </w:r>
      <w:proofErr w:type="spellStart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муниципального района на 2020 год запланированы в сумме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4 002 357,3 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тыс. рублей, что на 75 695,8 тыс. рублей больше первоначального плана 2019 года и на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1 011 175,9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тыс. рублей выше первоначального плана 2018 года. На плановый период 2021 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lastRenderedPageBreak/>
        <w:t xml:space="preserve">и 2022 годов доходы бюджета прогнозируются в сумме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3 864 404,7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тыс. рублей и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4 102 216,2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тыс. рублей.</w:t>
      </w:r>
    </w:p>
    <w:p w:rsidR="00C97575" w:rsidRPr="003E4B3D" w:rsidRDefault="00C97575" w:rsidP="00C9757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Планирование доходной части бюджета </w:t>
      </w:r>
      <w:proofErr w:type="spellStart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муниципального района на 2020 год и на плановый период до 2022 года осуществлялось на основании </w:t>
      </w:r>
      <w:r w:rsidRPr="003E4B3D">
        <w:rPr>
          <w:rFonts w:ascii="Times New Roman" w:hAnsi="Times New Roman"/>
          <w:sz w:val="28"/>
          <w:szCs w:val="28"/>
        </w:rPr>
        <w:t xml:space="preserve">прогнозных данных, представленных администраторами доходов – органами государственной власти Саратовской области, территориальными подразделениями органов государственной власти Российской Федерации, а также главными администраторами доходов районного бюджета, в соответствии с прогнозом основных показателей социально-экономического развития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на 2020 год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, основных направлений</w:t>
      </w:r>
      <w:proofErr w:type="gramEnd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налоговой и бюджетной политики </w:t>
      </w:r>
      <w:proofErr w:type="spellStart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муниципального района на 2020 год и оценки показателей первоначального плана за 2018 - 2019 годы. Расчет налогового потенциала по налоговым доходам на 2020 год производился исходя из показателей налоговой базы по данным статистической налоговой отчетности за 2018 год. 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Объем налоговых и неналоговых доходов районного бюджета на 2020 год и на плановый период 2021 и 2022 годов представлен в таблице 3:</w:t>
      </w:r>
    </w:p>
    <w:p w:rsidR="00C97575" w:rsidRPr="00DF0BF1" w:rsidRDefault="00C97575" w:rsidP="00C97575">
      <w:pPr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  <w:r w:rsidRPr="00DF0BF1">
        <w:rPr>
          <w:rFonts w:ascii="Times New Roman" w:eastAsia="Times New Roman" w:hAnsi="Times New Roman"/>
          <w:lang w:eastAsia="ru-RU"/>
        </w:rPr>
        <w:t>Таблица 3, тыс. рублей</w:t>
      </w:r>
    </w:p>
    <w:p w:rsidR="00C97575" w:rsidRDefault="00C97575" w:rsidP="00C97575">
      <w:pPr>
        <w:spacing w:after="0" w:line="240" w:lineRule="auto"/>
        <w:jc w:val="center"/>
      </w:pPr>
      <w:r>
        <w:object w:dxaOrig="11116" w:dyaOrig="9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2pt;height:411.95pt" o:ole="">
            <v:imagedata r:id="rId6" o:title=""/>
          </v:shape>
          <o:OLEObject Type="Embed" ProgID="Excel.Sheet.12" ShapeID="_x0000_i1025" DrawAspect="Content" ObjectID="_1635236022" r:id="rId7"/>
        </w:object>
      </w:r>
    </w:p>
    <w:p w:rsidR="00C97575" w:rsidRDefault="00C97575" w:rsidP="00C97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3.2. Объем и структура налоговых и неналоговых доходов в динамике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Налоговые и неналоговые доходы на 2020 год запланированы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1 113 703,4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рублей, в том числе 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налоговые доходы –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1 006 313,5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 тыс. рублей, неналоговые доходы –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107 389,9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тыс. рублей. Удельный вес налоговых и неналоговых доходов в общей прогнозируемой доходной части районного бюджета на 2020 год составит </w:t>
      </w:r>
      <w:r w:rsidRPr="003E4B3D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27,8%</w:t>
      </w: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По сравнению с показателями первоначального плана 2019 года увеличение прогнозных показателей налоговых и неналоговых доходов районного бюджета в 2020 году составит 59 796,7 тыс. рублей или 5,7%. П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 отношению к первоначальным показателям налоговых и неналоговых доходов в 2018 году рост данного показателя составит 108 697,4 тыс. рублей или 10,8%.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плановый период объем налоговых и неналоговых доходов прогнозируется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1 089 511,6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в 2021 году и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1 130 885,5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 в 2022 году.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Доля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налоговых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поступлений в общем объеме налоговых и неналоговых доходов районного бюджета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90,4%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.  По сравнению с первоначальными показателями 2019 года налоговые доходы запланированы в большем объеме на 60 216,0 тыс. рублей или 6,4%, по сравнению с первоначальным планом налоговых доходов в 2018 году прогноз налоговых доходов увеличится на 113 021,3 тыс. рублей или на 12,7%. 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 плановом периоде 2021 и 2022 годов налоговые доходы бюджета прогнозируются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988 547,7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и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1 029 204,9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Снижение доходов в 2021 году связано с планируемой отменой единого налога на вмененный доход.</w:t>
      </w: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Структура налоговых доходов на 2020 год и плановый период 2021 и 2022 годов, а также их соотношение с аналогичными показателями 2018 – 2019 годов представлена в следующем графике:</w:t>
      </w: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tabs>
          <w:tab w:val="left" w:pos="11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Налоговые доходы бюджета </w:t>
      </w:r>
      <w:proofErr w:type="spellStart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97575" w:rsidRPr="003E4B3D" w:rsidRDefault="00C97575" w:rsidP="00C97575">
      <w:pPr>
        <w:tabs>
          <w:tab w:val="left" w:pos="11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34735" cy="3848735"/>
            <wp:effectExtent l="0" t="0" r="0" b="0"/>
            <wp:docPr id="4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Основными налоговыми доходами являются: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налог на доходы физических лиц;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единый налог на вмененный доход;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государственная пошлина.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поступлений по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налогу на доходы физических лиц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2020 год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809 149,6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что составляет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80,4%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налоговых доходов.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3E4B3D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>а базу расчета приняты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налогооблагаемого дохода за 2018 год, по данным формы № 5-НДФЛ Управления Федеральной налоговой службы по Саратовской области, по каждому виду доходов, в отношении которых установлены различные налоговые ставки в соответствии со статьей 224 Налогового кодекса Российской Федерации, в соответствии с методическими рекомендациями Министерства финансов области.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Исчисленная сумма налога на доходы физических лиц корректировалась с учетом фактического поступления в бюджет налога на доходы физических лиц за 10 месяцев 2019 года, а также прогнозируемого темпа роста фонда оплаты труда в очередном финансовом году в соответствии с прогнозом социально-экономического развития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и на период до 2022 года.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Прогноз поступлений по налогу на доходы физических лиц в 2020 году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выше показателей первоначального плана 2019 года по данному виду доходов на 46 796,7 тыс. рублей, в относительном выражении увеличение составит 6,1%. По сравнению с первоначальными показателями налога на доходы физических лиц в 2018 году, прогноз выше на 101 176,0 тыс. рублей или на 14,3%. На 2020 год норматив отчисления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 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от налога на доходы физических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лиц, взимаемого на территориях городских поселений и на территориях сельских поселений так же, как и в 2019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24%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23%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 плановом периоде прогноз поступлений по налогу на доходы физических лиц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880 941,2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на 2021 год и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916 235,3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на 2022 год.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Поступления по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акцизам на нефтепродукты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 2020 год прогнозируются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27 983,4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E4B3D">
        <w:rPr>
          <w:rFonts w:ascii="Times New Roman" w:hAnsi="Times New Roman"/>
          <w:sz w:val="28"/>
          <w:szCs w:val="28"/>
        </w:rPr>
        <w:t>Данный вид доходов в 2020 году, так же как и в 2019 году, подлежит зачислению в бюджет муниципального района и в бюджет МО г. Энгельс по дифференцированным нормативам отчислений, установленным Законом Саратовской области от 25 ноября 2013 года № 206-ЗСО «О дифференцированных нормативах отчислений в бюджеты муниципальных образований Саратовской области от акцизов на автомобильный и прямогонный бензин, дизельное топливо, моторные масла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для дизельных и (или) карбюраторных (</w:t>
      </w:r>
      <w:proofErr w:type="spellStart"/>
      <w:r w:rsidRPr="003E4B3D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Федерации», исходя из протяженности автомобильных дорог местного значения, находящихся в собственности муниципального района (городского округа). По сравнению с первоначальным планом на 2019 год, в 2020 году прогнозируется увеличение доходов от акцизов на нефтепродукты на 5 885,5 тыс. рублей или на 26,6%, по сравнению с первоначальным планом 2018 года рост составит 8 470,9 тыс. рублей или в 1,4 раза. Для районного бюджета норматив отчисления на 2020 год равен </w:t>
      </w:r>
      <w:r w:rsidRPr="003E4B3D">
        <w:rPr>
          <w:rFonts w:ascii="Times New Roman" w:hAnsi="Times New Roman"/>
          <w:b/>
          <w:sz w:val="28"/>
          <w:szCs w:val="28"/>
        </w:rPr>
        <w:t>0,3692%</w:t>
      </w:r>
      <w:r w:rsidRPr="003E4B3D">
        <w:rPr>
          <w:rFonts w:ascii="Times New Roman" w:hAnsi="Times New Roman"/>
          <w:sz w:val="28"/>
          <w:szCs w:val="28"/>
        </w:rPr>
        <w:t xml:space="preserve"> (в 2019 году данный норматив составлял 0,3676%). Удельный вес доходов от акцизов на нефтепродукты в общем объеме налоговых доходов составит </w:t>
      </w:r>
      <w:r w:rsidRPr="003E4B3D">
        <w:rPr>
          <w:rFonts w:ascii="Times New Roman" w:hAnsi="Times New Roman"/>
          <w:b/>
          <w:sz w:val="28"/>
          <w:szCs w:val="28"/>
        </w:rPr>
        <w:t>2,8%</w:t>
      </w:r>
      <w:r w:rsidRPr="003E4B3D">
        <w:rPr>
          <w:rFonts w:ascii="Times New Roman" w:hAnsi="Times New Roman"/>
          <w:sz w:val="28"/>
          <w:szCs w:val="28"/>
        </w:rPr>
        <w:t>.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4B3D">
        <w:rPr>
          <w:rFonts w:ascii="Times New Roman" w:hAnsi="Times New Roman"/>
          <w:sz w:val="28"/>
          <w:szCs w:val="28"/>
        </w:rPr>
        <w:t xml:space="preserve">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Прогноз поступлений по акцизам на нефтепродукты на плановый период 2021 и 2022 годов составит </w:t>
      </w:r>
      <w:r w:rsidRPr="003E4B3D">
        <w:rPr>
          <w:rFonts w:ascii="Times New Roman" w:hAnsi="Times New Roman"/>
          <w:b/>
          <w:sz w:val="28"/>
          <w:szCs w:val="28"/>
        </w:rPr>
        <w:t>39 785,0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Величина поступлений по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единому налогу на вмененный доход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 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запланирована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105 625,0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</w:t>
      </w:r>
      <w:proofErr w:type="gramStart"/>
      <w:r w:rsidRPr="003E4B3D">
        <w:rPr>
          <w:rFonts w:ascii="Times New Roman" w:hAnsi="Times New Roman"/>
          <w:sz w:val="28"/>
          <w:szCs w:val="28"/>
        </w:rPr>
        <w:t>По сравнению с первоначальным планом на 2019 год, в 2020 году прогнозируется снижение поступлений по единому налогу на вмененный доход на 6 045,0 тыс. рублей или на 5,4%, по сравнению с первоначальным планом на 2018 год снижение составит 19 375,0 тыс. рублей или на 15,5%.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Снижение поступлений обусловлено уменьшением количества налогоплательщиков, </w:t>
      </w:r>
      <w:r w:rsidRPr="003E4B3D">
        <w:rPr>
          <w:rFonts w:ascii="Times New Roman" w:hAnsi="Times New Roman"/>
          <w:sz w:val="28"/>
          <w:szCs w:val="28"/>
        </w:rPr>
        <w:t>применяющих специальный режим налогообложения в виде единого налога на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вмененный доход и переходом их на другие виды налогообложения, в том числе на патентную систему налогообложения, упрощенную систему налогообложения).</w:t>
      </w:r>
      <w:r w:rsidRPr="003E4B3D">
        <w:rPr>
          <w:sz w:val="26"/>
          <w:szCs w:val="26"/>
        </w:rPr>
        <w:t xml:space="preserve">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Удельный вес поступлений от данного налога в общей сумме налоговых доходов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10,5%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. Норматив отчисления по налогу на вмененный доход в 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  <w:r w:rsidRPr="003E4B3D">
        <w:rPr>
          <w:rFonts w:ascii="Times New Roman" w:hAnsi="Times New Roman"/>
          <w:sz w:val="28"/>
          <w:szCs w:val="28"/>
        </w:rPr>
        <w:t xml:space="preserve"> остался на прежнем уровне и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составляет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100%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Прогноз поступлений по единому налогу на вмененный доход на 2021 и 2022 годы отсутствует, в связи с прекращением действия с 1 января 2021 года системы налогообложения в виде единого налога на вмененный доход.</w:t>
      </w:r>
    </w:p>
    <w:p w:rsidR="00C97575" w:rsidRPr="003E4B3D" w:rsidRDefault="00C97575" w:rsidP="00C9757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Объем поступлений по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государственной пошлине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 2020 году прогнозируется в сумме 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48 674,0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поступления от государственной пошлины по делам, рассматриваемым в судах общей юрисдикции, мировыми судьями (за исключением Верховного Суда Российской Федерации) прогнозируются в сумме 48 599,0 тыс. рублей, поступления по государственной пошлине за выдачу разрешения на установку рекламной конструкции – 75,0 тыс. рублей.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Планируемый объем поступлений государственной пошлины в районный бюджет в 2020 году больше первоначальных показателей 2019 года на 11 007,5 тыс. рублей или 29,2%,</w:t>
      </w:r>
      <w:r w:rsidRPr="003E4B3D">
        <w:rPr>
          <w:rFonts w:ascii="Times New Roman" w:hAnsi="Times New Roman"/>
          <w:sz w:val="28"/>
          <w:szCs w:val="28"/>
        </w:rPr>
        <w:t xml:space="preserve"> за счет прогнозируемого увеличения поступлений государственной пошлины по делам, рассматриваемым в судах общей юрисдикции, мировыми судьями за подачу исковых заявлений.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Относительно 2018 года прогнозируется увеличение поступлений по государственной пошлине на 19 399,0 тыс. рублей или 66,3%. </w:t>
      </w:r>
      <w:r w:rsidRPr="003E4B3D">
        <w:rPr>
          <w:rFonts w:ascii="Times New Roman" w:hAnsi="Times New Roman"/>
          <w:sz w:val="28"/>
          <w:szCs w:val="28"/>
        </w:rPr>
        <w:t xml:space="preserve">Удельный вес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поступлений по государственной пошлине </w:t>
      </w:r>
      <w:r w:rsidRPr="003E4B3D">
        <w:rPr>
          <w:rFonts w:ascii="Times New Roman" w:hAnsi="Times New Roman"/>
          <w:sz w:val="28"/>
          <w:szCs w:val="28"/>
        </w:rPr>
        <w:t xml:space="preserve">в общем объеме налоговых доходов составит </w:t>
      </w:r>
      <w:r w:rsidRPr="003E4B3D">
        <w:rPr>
          <w:rFonts w:ascii="Times New Roman" w:hAnsi="Times New Roman"/>
          <w:b/>
          <w:sz w:val="28"/>
          <w:szCs w:val="28"/>
        </w:rPr>
        <w:t>4,8%</w:t>
      </w:r>
      <w:r w:rsidRPr="003E4B3D">
        <w:rPr>
          <w:rFonts w:ascii="Times New Roman" w:hAnsi="Times New Roman"/>
          <w:sz w:val="28"/>
          <w:szCs w:val="28"/>
        </w:rPr>
        <w:t>.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4B3D">
        <w:rPr>
          <w:rFonts w:ascii="Times New Roman" w:hAnsi="Times New Roman"/>
          <w:sz w:val="28"/>
          <w:szCs w:val="28"/>
        </w:rPr>
        <w:t xml:space="preserve">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В 2021 году поступления по государственной пошлине прогнозируются в размере </w:t>
      </w:r>
      <w:r w:rsidRPr="003E4B3D">
        <w:rPr>
          <w:rFonts w:ascii="Times New Roman" w:hAnsi="Times New Roman"/>
          <w:b/>
          <w:sz w:val="28"/>
          <w:szCs w:val="28"/>
        </w:rPr>
        <w:t xml:space="preserve">52 320,1 </w:t>
      </w:r>
      <w:r w:rsidRPr="003E4B3D">
        <w:rPr>
          <w:rFonts w:ascii="Times New Roman" w:hAnsi="Times New Roman"/>
          <w:sz w:val="28"/>
          <w:szCs w:val="28"/>
        </w:rPr>
        <w:t xml:space="preserve">тыс. рублей, в 2022 году – </w:t>
      </w:r>
      <w:r w:rsidRPr="003E4B3D">
        <w:rPr>
          <w:rFonts w:ascii="Times New Roman" w:hAnsi="Times New Roman"/>
          <w:b/>
          <w:sz w:val="28"/>
          <w:szCs w:val="28"/>
        </w:rPr>
        <w:t>57 394,0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поступлений по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неналоговым доходам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 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107 389,9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Доля неналоговых поступлений в общем объеме налоговых и неналоговых доходов районного бюджета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9,6%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сравнению с показателями первоначального плана 2019 года неналоговые доходы в 2020 году запланированы в меньшем объеме на 419,3 тыс. рублей или 0,4%, по сравнению с первоначальными показателями 2018 года прогноз неналоговых доходов уменьшился на 4 323,9 тыс. рублей или 3,9%.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 2021 году неналоговые доходы прогнозируются в размере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100 963,9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2022 году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101 680,6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Структура неналоговых доходов на 2020 год и плановый период 2021 и 2022 годов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соотношение с аналогичными показателями 2018–2019 годов представлена в следующем графике:</w:t>
      </w: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tabs>
          <w:tab w:val="left" w:pos="11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Неналоговые доходы бюджета </w:t>
      </w:r>
      <w:proofErr w:type="spellStart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97575" w:rsidRPr="003E4B3D" w:rsidRDefault="00C97575" w:rsidP="00C97575">
      <w:pPr>
        <w:spacing w:after="0" w:line="240" w:lineRule="auto"/>
        <w:ind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94500" cy="3519170"/>
            <wp:effectExtent l="0" t="0" r="0" b="0"/>
            <wp:docPr id="5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3E4B3D"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Сумма поступлений по доходам, получаемым в виде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арендной платы за земельные участки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,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70 513,0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числе: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по земельным участкам, государственная собственность на которые не разграничена и которые расположены в границах сельских поселений –     4 000,0 тыс. рублей;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по земельным участкам, государственная собственность на которые не разграничена и которые расположены в границах городских поселений – 66 213,0 тыс. рублей;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по земельным участкам, находящимся в собственности муниципального района  – 300,0 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Доля поступления доходов, получаемых в виде арендной платы за земельные участки, в общей сумме неналоговых доходов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65,7%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E4B3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Прогноз поступлений по данному виду доходов в 2020 году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выше первоначальных назначений 2019 года на 3 550,0 тыс. рублей или  5,3%, и выше первоначального плана 2018 года на 17 763,0 тыс. рублей или 33,7%, что связано с пересчётом арендных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платежей с 1 января 2019 года в связи с увеличением кадастровой стоимости земельных участков, утвержденной распоряжением Комитета по управлению имуществом Саратовской области от 20.11.2018 года № 1026-Р «Об утверждении результатов определения кадастровой стоимости земельных участков в составе земель населенных пунктов и земель особо охраняемых территорий и объектов, расположенных на территории Саратовской области».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 2021 и 2022 год доходы в виде арендной платы за земельные участки прогнозируются в размере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70 263,0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ar-SA"/>
        </w:rPr>
        <w:t xml:space="preserve">Величина доходов районного бюджета от сдачи в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ar-SA"/>
        </w:rPr>
        <w:t>аренду муниципального имущества</w:t>
      </w:r>
      <w:r w:rsidRPr="003E4B3D">
        <w:rPr>
          <w:rFonts w:ascii="Times New Roman" w:eastAsia="Times New Roman" w:hAnsi="Times New Roman"/>
          <w:sz w:val="28"/>
          <w:szCs w:val="28"/>
          <w:lang w:eastAsia="ar-SA"/>
        </w:rPr>
        <w:t>, находящегося в оперативном управлении органов муниципальной власти и созданных ими учреждений на 2020 год прогнозируется</w:t>
      </w:r>
      <w:r w:rsidRPr="003E4B3D">
        <w:rPr>
          <w:rFonts w:ascii="Times New Roman" w:eastAsia="Times New Roman" w:hAnsi="Times New Roman"/>
          <w:spacing w:val="-2"/>
          <w:sz w:val="28"/>
          <w:szCs w:val="28"/>
          <w:lang w:eastAsia="ar-SA"/>
        </w:rPr>
        <w:t xml:space="preserve"> в сумме </w:t>
      </w:r>
      <w:r w:rsidRPr="003E4B3D">
        <w:rPr>
          <w:rFonts w:ascii="Times New Roman" w:eastAsia="Times New Roman" w:hAnsi="Times New Roman"/>
          <w:b/>
          <w:spacing w:val="-2"/>
          <w:sz w:val="28"/>
          <w:szCs w:val="28"/>
          <w:lang w:eastAsia="ar-SA"/>
        </w:rPr>
        <w:t xml:space="preserve">2 586,5 </w:t>
      </w:r>
      <w:r w:rsidRPr="003E4B3D">
        <w:rPr>
          <w:rFonts w:ascii="Times New Roman" w:eastAsia="Times New Roman" w:hAnsi="Times New Roman"/>
          <w:spacing w:val="-2"/>
          <w:sz w:val="28"/>
          <w:szCs w:val="28"/>
          <w:lang w:eastAsia="ar-SA"/>
        </w:rPr>
        <w:t>тыс. рублей</w:t>
      </w:r>
      <w:r w:rsidRPr="003E4B3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E4B3D">
        <w:rPr>
          <w:rFonts w:ascii="Times New Roman" w:eastAsia="Times New Roman" w:hAnsi="Times New Roman"/>
          <w:spacing w:val="-2"/>
          <w:sz w:val="28"/>
          <w:szCs w:val="28"/>
          <w:lang w:eastAsia="ar-SA"/>
        </w:rPr>
        <w:t xml:space="preserve">что выше плановых </w:t>
      </w:r>
      <w:r w:rsidRPr="003E4B3D">
        <w:rPr>
          <w:rFonts w:ascii="Times New Roman" w:eastAsia="Times New Roman" w:hAnsi="Times New Roman"/>
          <w:spacing w:val="-2"/>
          <w:sz w:val="28"/>
          <w:szCs w:val="28"/>
          <w:lang w:eastAsia="ar-SA"/>
        </w:rPr>
        <w:lastRenderedPageBreak/>
        <w:t>назначений 2019 года на 258,5 тыс. рублей или 11,1% и ниже первоначального плана 2018 года на 4 613,5 тыс. рублей или 64,1%. Доля доходов от сдачи</w:t>
      </w:r>
      <w:proofErr w:type="gramEnd"/>
      <w:r w:rsidRPr="003E4B3D">
        <w:rPr>
          <w:rFonts w:ascii="Times New Roman" w:eastAsia="Times New Roman" w:hAnsi="Times New Roman"/>
          <w:spacing w:val="-2"/>
          <w:sz w:val="28"/>
          <w:szCs w:val="28"/>
          <w:lang w:eastAsia="ar-SA"/>
        </w:rPr>
        <w:t xml:space="preserve"> в аренду имущества в общей сумме неналоговых доходов</w:t>
      </w:r>
      <w:r w:rsidRPr="003E4B3D">
        <w:rPr>
          <w:rFonts w:ascii="Times New Roman" w:eastAsia="Times New Roman" w:hAnsi="Times New Roman"/>
          <w:sz w:val="28"/>
          <w:szCs w:val="28"/>
          <w:lang w:eastAsia="ar-SA"/>
        </w:rPr>
        <w:t xml:space="preserve">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ar-SA"/>
        </w:rPr>
        <w:t>2,4%</w:t>
      </w:r>
      <w:r w:rsidRPr="003E4B3D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поступлений доходов от сдачи в аренду муниципального имущества на 2021 и 2022 годы соответствует уровню 2020 года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2 586,5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Прог</w:t>
      </w:r>
      <w:r w:rsidRPr="003E4B3D">
        <w:rPr>
          <w:rFonts w:ascii="Times New Roman" w:eastAsia="Times New Roman" w:hAnsi="Times New Roman"/>
          <w:spacing w:val="-4"/>
          <w:sz w:val="28"/>
          <w:szCs w:val="28"/>
        </w:rPr>
        <w:t xml:space="preserve">ноз доходов районного бюджета от </w:t>
      </w:r>
      <w:r w:rsidRPr="003E4B3D">
        <w:rPr>
          <w:rFonts w:ascii="Times New Roman" w:eastAsia="Times New Roman" w:hAnsi="Times New Roman"/>
          <w:b/>
          <w:spacing w:val="-4"/>
          <w:sz w:val="28"/>
          <w:szCs w:val="28"/>
        </w:rPr>
        <w:t>реализации имущества</w:t>
      </w:r>
      <w:r w:rsidRPr="003E4B3D">
        <w:rPr>
          <w:rFonts w:ascii="Times New Roman" w:eastAsia="Times New Roman" w:hAnsi="Times New Roman"/>
          <w:spacing w:val="-4"/>
          <w:sz w:val="28"/>
          <w:szCs w:val="28"/>
        </w:rPr>
        <w:t xml:space="preserve">, находящегося в собственности муниципального района 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на 2020 год определен в сумме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20 274,7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рублей. Величина прогноза поступлений доходов от реализации имущества в 2020 году выше показателя первоначального плана 2019 года на 3 522,6 тыс. рублей или 21,0% и выше показателя 2018 года на 174,7 тыс. рублей или 0,9%. Доля доходов от реализации имущества в общем объеме неналоговых доходов в 2020 году составит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18,9%.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Прогноз поступления доходов от реализации имущества в плановом периоде составит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13 318,7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в 2021 году и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13 315,4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в 2022 году.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Доходы от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продажи земельных участков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запланированы на 2020 год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7 625,0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числе: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доходы от продажи земельных участков, государственная собственность на которые не разграничена и которые расположены в границах городских поселений – 7 375,0 тыс. рублей;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доходы от продажи земельных участков, находящихся в собственности муниципального района – 250,0 тыс. рублей.</w:t>
      </w:r>
    </w:p>
    <w:p w:rsidR="00C97575" w:rsidRPr="003E4B3D" w:rsidRDefault="00C97575" w:rsidP="00C9757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Прогноз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поступления доходов от продажи земельных участков в 2020 году выше первоначальных показателей 2019 года на 850,0 тыс. рублей или 12,5% и ниже первоначальных показателей 2018 года на 11 220,9 тыс. рублей или 59,5%.</w:t>
      </w:r>
    </w:p>
    <w:p w:rsidR="00C97575" w:rsidRPr="003E4B3D" w:rsidRDefault="00C97575" w:rsidP="00C9757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Удельный вес поступлений от данного вида доходов в общей сумме неналоговых доходов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7,1%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Прогноз поступлений по доходам от реализации земельных участков на плановый период 2021 и 2022 годов соответствует уровню 2020 года и составит </w:t>
      </w:r>
      <w:r w:rsidRPr="003E4B3D">
        <w:rPr>
          <w:rFonts w:ascii="Times New Roman" w:hAnsi="Times New Roman"/>
          <w:b/>
          <w:sz w:val="28"/>
          <w:szCs w:val="28"/>
        </w:rPr>
        <w:t>7 625,0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Поступление по штрафам на очередной финансовый год и плановый период  2021 и 2022 годов не прогнозируются, так как в соответствии с изменениями в бюджетном законодательстве, штрафы, налагаемые федеральными и региональными органами исполнительной власти, с января 2020 года подлежат зачислению в федеральный и региональный бюджет соответственно. В районный бюджет будут поступать штрафы за административные правонарушения, выявленные должностными лицами органов муниципального контроля, а также административные штрафы, налагаемые мировыми судьями, комиссиями по делам несовершеннолетних и защите их прав. В первоначальном бюджете на 2019 год штрафы предусматривались в сумме 9 574,4 тыс. рублей, в 2018 году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E4B3D">
        <w:rPr>
          <w:rFonts w:ascii="Times New Roman" w:hAnsi="Times New Roman"/>
          <w:sz w:val="28"/>
          <w:szCs w:val="28"/>
        </w:rPr>
        <w:t xml:space="preserve"> 7 837,0 тыс.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3E4B3D">
        <w:rPr>
          <w:rFonts w:ascii="Times New Roman" w:eastAsia="Times New Roman" w:hAnsi="Times New Roman"/>
          <w:b/>
          <w:bCs/>
          <w:iCs/>
          <w:sz w:val="28"/>
          <w:szCs w:val="28"/>
        </w:rPr>
        <w:lastRenderedPageBreak/>
        <w:t>Безвозмездные поступления</w:t>
      </w:r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 xml:space="preserve"> в районном бюджете на 2020 год предусмотрены в объеме </w:t>
      </w:r>
      <w:r w:rsidRPr="003E4B3D">
        <w:rPr>
          <w:rFonts w:ascii="Times New Roman" w:eastAsia="Times New Roman" w:hAnsi="Times New Roman"/>
          <w:b/>
          <w:bCs/>
          <w:iCs/>
          <w:sz w:val="28"/>
          <w:szCs w:val="28"/>
        </w:rPr>
        <w:t>2 888 653,9</w:t>
      </w:r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 xml:space="preserve"> тыс. рублей, удельный вес безвозмездных поступлений в общей прогнозируемой доходной части бюджета на 2020 год составит </w:t>
      </w:r>
      <w:r w:rsidRPr="003E4B3D">
        <w:rPr>
          <w:rFonts w:ascii="Times New Roman" w:eastAsia="Times New Roman" w:hAnsi="Times New Roman"/>
          <w:b/>
          <w:bCs/>
          <w:iCs/>
          <w:sz w:val="28"/>
          <w:szCs w:val="28"/>
        </w:rPr>
        <w:t>72,2%</w:t>
      </w:r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 xml:space="preserve">. 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>Безвозмездные поступления в 2020 году по сравнению с показателями первоначального плана 2019 года планируются в большем объеме на 15 899,1 тыс. рублей или 0,6%. По сравнению с показателями первоначального плана 2018 года прогноз безвозмездных перечислений увеличился на 902 478,5 тыс. рублей или 45,4%.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 плановом периоде прогноз безвозмездных поступлений составит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2 774 893,1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на 2021 год и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2 971 330,7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 на 2022 год.</w:t>
      </w:r>
    </w:p>
    <w:p w:rsidR="00C97575" w:rsidRPr="003E4B3D" w:rsidRDefault="00C97575" w:rsidP="00C97575">
      <w:pPr>
        <w:keepNext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</w:rPr>
      </w:pPr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 xml:space="preserve">Структура безвозмездных поступлений бюджета </w:t>
      </w:r>
      <w:proofErr w:type="spellStart"/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bCs/>
          <w:iCs/>
          <w:sz w:val="28"/>
          <w:szCs w:val="28"/>
        </w:rPr>
        <w:t xml:space="preserve"> муниципального района на 2020 год и на плановый период 2021 и 2022 годов представлена в разделе 5.</w:t>
      </w:r>
    </w:p>
    <w:p w:rsidR="00C97575" w:rsidRPr="003E4B3D" w:rsidRDefault="00C97575" w:rsidP="00C9757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4. РАСХОДЫ БЮДЖЕТА</w:t>
      </w:r>
    </w:p>
    <w:p w:rsidR="00C97575" w:rsidRPr="003E4B3D" w:rsidRDefault="00C97575" w:rsidP="00C9757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7"/>
          <w:szCs w:val="27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Расходы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планируются в размере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4 002 357,3</w:t>
      </w:r>
      <w:r w:rsidRPr="003E4B3D">
        <w:rPr>
          <w:sz w:val="25"/>
          <w:szCs w:val="25"/>
        </w:rPr>
        <w:t xml:space="preserve">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рублей, что выше первоначального плана на 2019 год на 75 695,8 тыс. рублей.</w:t>
      </w:r>
      <w:r w:rsidRPr="003E4B3D">
        <w:rPr>
          <w:sz w:val="25"/>
          <w:szCs w:val="25"/>
        </w:rPr>
        <w:t xml:space="preserve">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Расходы  планового периода запланированы на 2021 год в размере 3 864 404,7 тыс. руб., в том числе условно утвержденные расходы в сумме 28 000,0 тыс. руб. и на 2022 год в сумме 4 102 216,2  тыс. руб., в том числе условно утвержденные расходы в сумме 57 000,0 тыс. руб. в пределах ожидаемого поступления доходов</w:t>
      </w:r>
      <w:r w:rsidRPr="003E4B3D">
        <w:rPr>
          <w:sz w:val="27"/>
          <w:szCs w:val="27"/>
        </w:rPr>
        <w:t xml:space="preserve">. </w:t>
      </w:r>
      <w:proofErr w:type="gramEnd"/>
    </w:p>
    <w:p w:rsidR="00C97575" w:rsidRPr="003E4B3D" w:rsidRDefault="00C97575" w:rsidP="00C97575">
      <w:pPr>
        <w:pStyle w:val="af8"/>
        <w:ind w:firstLine="568"/>
        <w:rPr>
          <w:sz w:val="27"/>
          <w:szCs w:val="27"/>
        </w:rPr>
      </w:pPr>
      <w:proofErr w:type="gramStart"/>
      <w:r w:rsidRPr="003E4B3D">
        <w:rPr>
          <w:sz w:val="27"/>
          <w:szCs w:val="27"/>
        </w:rPr>
        <w:t xml:space="preserve">В соответствии  со ст. 184.1 Бюджетного кодекса РФ общий объем условно утверждаемых расходов на первый год планового периода принимается в объеме не менее </w:t>
      </w:r>
      <w:r w:rsidRPr="003E4B3D">
        <w:rPr>
          <w:b/>
          <w:sz w:val="27"/>
          <w:szCs w:val="27"/>
        </w:rPr>
        <w:t xml:space="preserve">2,5% </w:t>
      </w:r>
      <w:r w:rsidRPr="003E4B3D">
        <w:rPr>
          <w:sz w:val="27"/>
          <w:szCs w:val="27"/>
        </w:rPr>
        <w:t xml:space="preserve">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</w:t>
      </w:r>
      <w:r w:rsidRPr="003E4B3D">
        <w:rPr>
          <w:b/>
          <w:sz w:val="27"/>
          <w:szCs w:val="27"/>
        </w:rPr>
        <w:t>5%</w:t>
      </w:r>
      <w:r w:rsidRPr="003E4B3D">
        <w:rPr>
          <w:sz w:val="27"/>
          <w:szCs w:val="27"/>
        </w:rPr>
        <w:t xml:space="preserve"> общего объема расходов</w:t>
      </w:r>
      <w:proofErr w:type="gramEnd"/>
      <w:r w:rsidRPr="003E4B3D">
        <w:rPr>
          <w:sz w:val="27"/>
          <w:szCs w:val="27"/>
        </w:rPr>
        <w:t xml:space="preserve">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 исполнение действующих расходных обязательств в 2020 году предусмотрены средства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4 002 357,3</w:t>
      </w:r>
      <w:r w:rsidRPr="003E4B3D">
        <w:rPr>
          <w:sz w:val="25"/>
          <w:szCs w:val="25"/>
        </w:rPr>
        <w:t xml:space="preserve">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рублей. Расходы планового периода запланированы также только на исполнение действующих расходных обязательств.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«Об утверждении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2020 год и на плановый период 2021 и 2022 годов» сформирован в трехлетнем программном формате - по муниципальным и ведомственным целевым программам.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проекте бюджета запланированы расходы на реализацию муниципальных и ведомственных программ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3 710 990,0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 или  93,2 % от общего объема расходов бюджета. Расходы планового периода 2021 года запланированы в размере 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3 545 025,4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руб.,  на 2022 год в размере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3 751 114,9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 реализацию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программ запланированы расходы на 2020 год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2 950 601,1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руб., в том  числе: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Молодежь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2018-2021 годы – 7 296,9 тыс. руб.,  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физической культуры и спорта на территории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2018-2021 годы – 131 916,2 тыс. руб.,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образования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2018-2021 годы –  2 798 592,2 тыс. руб.,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жильем молодых семей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2015-2025 годы – 185,8 тыс. руб.,</w:t>
      </w:r>
    </w:p>
    <w:p w:rsidR="00C97575" w:rsidRPr="003E4B3D" w:rsidRDefault="00C97575" w:rsidP="00C9757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Энергосбережение и повышение энергетической эффективности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период  до 2020 года – 12 610,0 тыс. рублей.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реализацию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 ведомственных целевых программ запланированы расходы на 2020 год в сумме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760 388,9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руб., в том  числе: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Управление муниципальными финансами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2018-2021 годы – 144 146,2 тыс. руб.,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культуры на территории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 2016-2021 годах – 436 649,2 тыс. руб.,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Дорожная деятельность в отношении автомобильных дорог местного значения вне границ населенных пунктов в границах 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2018 - 2021 годы – 42 017,6 тыс. руб.,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Организация похоронного дела, содержание муниципальных жилых и нежилых помещений, находящихся в собственности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2018-2021 годы – 30 993,0 тыс. руб.,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Социальная поддержка отдельных категорий граждан на территории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 2018-2021 годах – 105 338,7 тыс. руб.,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деятельности муниципального бюджетного учреждения "Единая дирекция по капитальному строительству" по предоставлению сведений, содержащихся в информационной системе обеспечения градостроительной деятельности администрации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2018 - 2022 годы -  1 244,2 тыс. руб.  (Сведения о расходах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на реализацию муниципальных программ, а также о  целевых показателях (индикаторах), планируемых к достижению в результате их реализации отражены далее по тексту).</w:t>
      </w:r>
      <w:proofErr w:type="gramEnd"/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Основная доля расходов приходится на социальную сферу.</w:t>
      </w:r>
    </w:p>
    <w:p w:rsidR="00C97575" w:rsidRPr="003E4B3D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Расходы на социальную сферу предусмотрены в объеме                 3 335 303,4 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рублей, или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83,3%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от общих расходов бюджета. По сравнению с первоначально утвержденным бюджетом 2019 года прогнозируется увеличение расходов на 58 064,7 тыс. рублей. </w:t>
      </w:r>
    </w:p>
    <w:p w:rsidR="00C97575" w:rsidRPr="003E4B3D" w:rsidRDefault="00C97575" w:rsidP="00C97575"/>
    <w:p w:rsidR="00C97575" w:rsidRPr="003E4B3D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11850" cy="4072255"/>
            <wp:effectExtent l="0" t="0" r="0" b="0"/>
            <wp:docPr id="6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7575" w:rsidRPr="003E4B3D" w:rsidRDefault="00C97575" w:rsidP="00C9757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Расходы на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оплату труда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начислениями по социальной сфере запланированы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2 920 534,0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рублей, что выше первоначального плана  2019 года на 390 569,0 тыс. рублей. 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согласованности направлений бюджетной политики района с направлениями бюджетной политики, принятой на федеральном и облас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ном уровнях, оплата труда работников муниципальных учреждений предусмотрена в соответствии с Указом Президента РФ о поэтапном повышении заработной платы работников бюджетной сферы, с учетом рекомендаций отраслевых министерств.</w:t>
      </w:r>
      <w:proofErr w:type="gramEnd"/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Планирование расходов на заработную плату педагогических работников образовательных учреждений общего образования, работников учреждений культуры осуществлялось  в соответствии с Указами Президента РФ  с учетом соблюдения достигнутых в 2019 году целевых ориентиров с учетом их доведения в среднем с 1 октября 2019 года до 28 100 рублей в месяц,  педагогических работников  дошкольных образовательных учреждений до 25 800  рублей в месяц,   педагогических работников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 дополнительного образования до 28 600 рублей в месяц. Расчет фонда заработной платы остальных работников муниципальных учреждений, работников, осуществляющих техническое обеспечение деятельности органов местного самоуправления, лицам, замещающим должности муниципальной службы осуществлялся исходя из увеличения с 1 октября 2019 года должностных окладов на 9 %. В проекте бюджета учтено повышение  МРОТ с 1  января 2020 года  до 12 130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Расходы по начислениям на оплату тр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да запланированы на 2020 год  по ставке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30,2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% как и в 2019 году. </w:t>
      </w:r>
    </w:p>
    <w:p w:rsidR="00C97575" w:rsidRPr="003E4B3D" w:rsidRDefault="00C97575" w:rsidP="00C97575">
      <w:pPr>
        <w:pStyle w:val="af8"/>
        <w:ind w:firstLine="568"/>
        <w:rPr>
          <w:szCs w:val="28"/>
        </w:rPr>
      </w:pPr>
      <w:r w:rsidRPr="003E4B3D">
        <w:rPr>
          <w:szCs w:val="28"/>
        </w:rPr>
        <w:t xml:space="preserve">Расходы на </w:t>
      </w:r>
      <w:r w:rsidRPr="003E4B3D">
        <w:rPr>
          <w:b/>
          <w:szCs w:val="28"/>
        </w:rPr>
        <w:t>коммунальные услуги</w:t>
      </w:r>
      <w:r w:rsidRPr="003E4B3D">
        <w:rPr>
          <w:szCs w:val="28"/>
        </w:rPr>
        <w:t xml:space="preserve"> по социальной сфере предусмотрены в объеме </w:t>
      </w:r>
      <w:r w:rsidRPr="003E4B3D">
        <w:rPr>
          <w:b/>
          <w:szCs w:val="28"/>
        </w:rPr>
        <w:t>265 126,3</w:t>
      </w:r>
      <w:r w:rsidRPr="003E4B3D">
        <w:rPr>
          <w:szCs w:val="28"/>
        </w:rPr>
        <w:t xml:space="preserve"> тыс. руб. По сравнению с первоначальным планом на 2019 год в 2020 году расходов на коммунальные услуги предусматривается больше на 6 024,5 тыс. руб. Расходы на коммунальные услуги социальной сферы запланированы в объеме 73,2 % от потребности. </w:t>
      </w:r>
    </w:p>
    <w:p w:rsidR="00C97575" w:rsidRPr="003E4B3D" w:rsidRDefault="00C97575" w:rsidP="00C97575">
      <w:pPr>
        <w:pStyle w:val="af8"/>
        <w:ind w:firstLine="568"/>
        <w:rPr>
          <w:sz w:val="26"/>
          <w:szCs w:val="26"/>
        </w:rPr>
      </w:pPr>
      <w:r w:rsidRPr="003E4B3D">
        <w:rPr>
          <w:szCs w:val="28"/>
        </w:rPr>
        <w:t xml:space="preserve">По разделу </w:t>
      </w:r>
      <w:r w:rsidRPr="003E4B3D">
        <w:rPr>
          <w:b/>
          <w:szCs w:val="28"/>
        </w:rPr>
        <w:t>«Образование»</w:t>
      </w:r>
      <w:r w:rsidRPr="003E4B3D">
        <w:rPr>
          <w:szCs w:val="28"/>
        </w:rPr>
        <w:t xml:space="preserve"> расходы предусмотрены в объеме </w:t>
      </w:r>
      <w:r w:rsidRPr="003E4B3D">
        <w:rPr>
          <w:b/>
          <w:szCs w:val="28"/>
        </w:rPr>
        <w:t>2 940 823,1</w:t>
      </w:r>
      <w:r w:rsidRPr="003E4B3D">
        <w:rPr>
          <w:b/>
          <w:sz w:val="25"/>
          <w:szCs w:val="25"/>
        </w:rPr>
        <w:t xml:space="preserve"> </w:t>
      </w:r>
      <w:r w:rsidRPr="003E4B3D">
        <w:rPr>
          <w:szCs w:val="28"/>
        </w:rPr>
        <w:t xml:space="preserve">тыс. рублей, что составляет </w:t>
      </w:r>
      <w:r w:rsidRPr="003E4B3D">
        <w:rPr>
          <w:b/>
          <w:szCs w:val="28"/>
        </w:rPr>
        <w:t xml:space="preserve">73,5 </w:t>
      </w:r>
      <w:r w:rsidRPr="003E4B3D">
        <w:rPr>
          <w:szCs w:val="28"/>
        </w:rPr>
        <w:t>%  от общих расходов бюджета. Относительно первоначального бюджета 2019 года прогнозируется уменьшение расходов на 96 473,0 тыс. рублей. Уменьшение расходов в 2020 году связано с переходом финансирования учреждений дополнительного образования (спортивные школы) из данного раздела в раздел «Физическая культура и спорт».</w:t>
      </w:r>
      <w:r w:rsidRPr="003E4B3D">
        <w:rPr>
          <w:sz w:val="26"/>
          <w:szCs w:val="26"/>
        </w:rPr>
        <w:t xml:space="preserve"> Кроме того, в 2019 году по данному разделу были </w:t>
      </w:r>
      <w:proofErr w:type="spellStart"/>
      <w:r w:rsidRPr="003E4B3D">
        <w:rPr>
          <w:sz w:val="26"/>
          <w:szCs w:val="26"/>
        </w:rPr>
        <w:t>запланированиы</w:t>
      </w:r>
      <w:proofErr w:type="spellEnd"/>
      <w:r w:rsidRPr="003E4B3D">
        <w:rPr>
          <w:sz w:val="26"/>
          <w:szCs w:val="26"/>
        </w:rPr>
        <w:t xml:space="preserve"> бюджетные </w:t>
      </w:r>
      <w:proofErr w:type="spellStart"/>
      <w:r w:rsidRPr="003E4B3D">
        <w:rPr>
          <w:sz w:val="26"/>
          <w:szCs w:val="26"/>
        </w:rPr>
        <w:t>инвестици</w:t>
      </w:r>
      <w:proofErr w:type="spellEnd"/>
      <w:r w:rsidRPr="003E4B3D">
        <w:rPr>
          <w:sz w:val="26"/>
          <w:szCs w:val="26"/>
        </w:rPr>
        <w:t xml:space="preserve"> - по школе на ул. Лесозаводская,  детскому саду по ул. </w:t>
      </w:r>
      <w:proofErr w:type="spellStart"/>
      <w:r w:rsidRPr="003E4B3D">
        <w:rPr>
          <w:sz w:val="26"/>
          <w:szCs w:val="26"/>
        </w:rPr>
        <w:t>Шурова</w:t>
      </w:r>
      <w:proofErr w:type="spellEnd"/>
      <w:r w:rsidRPr="003E4B3D">
        <w:rPr>
          <w:sz w:val="26"/>
          <w:szCs w:val="26"/>
        </w:rPr>
        <w:t xml:space="preserve"> гора и по блокам групповых помещений в детских садах по ул.</w:t>
      </w:r>
      <w:r>
        <w:rPr>
          <w:sz w:val="26"/>
          <w:szCs w:val="26"/>
        </w:rPr>
        <w:t xml:space="preserve"> </w:t>
      </w:r>
      <w:r w:rsidRPr="003E4B3D">
        <w:rPr>
          <w:sz w:val="26"/>
          <w:szCs w:val="26"/>
        </w:rPr>
        <w:t>Тельмана и по ул. Полтавская.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по данной отрасли запланированы на функционирование 71 детских дошкольных учреждений, 60 общеобразовательной школы, </w:t>
      </w:r>
      <w:r w:rsidRPr="003E4B3D">
        <w:rPr>
          <w:rFonts w:ascii="Times New Roman" w:hAnsi="Times New Roman"/>
          <w:sz w:val="28"/>
          <w:szCs w:val="28"/>
        </w:rPr>
        <w:t xml:space="preserve"> центра развития творчества детей и юношества, центра молодежных инициатив, лагеря «Буревестник», центра «Позитив», муниципального центра оценки качества образования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, централизованной бухгалтерии,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10 музыкальных школ.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разделу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«Культура и кинематография»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предусмотрены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258 794,5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что составляет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6,4 %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от общих расходов бюджета на 2020 год. Относительно 2019 года прогнозируется увеличение расходов на 25 794,4 тыс. рублей.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По данному разделу финансируются 15 домов культуры, центр народного творчества «Дружба», централизованная библиотечная система, которая включает в себя 50 филиалов библиотек, централизованная бухгалтерия</w:t>
      </w:r>
      <w:r w:rsidRPr="003E4B3D">
        <w:rPr>
          <w:rFonts w:ascii="Times New Roman" w:hAnsi="Times New Roman"/>
          <w:sz w:val="28"/>
          <w:szCs w:val="28"/>
        </w:rPr>
        <w:t>.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разделу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«Физическая культура и спорт»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- расходы предусмотрены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135 685,8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Относительно 2019 года увеличение расходов составит 128 743,8  тыс. рублей. Увеличение расходов по данному разделу связано с переходом финансирования учреждений дополнительного образования (спортивные школы) из раздела «Образование»  на финансирование  учреждений спортивной направленности в раздел «Физическая культура и спорт». Расходы по данной отрасли запланированы на функционирование </w:t>
      </w:r>
      <w:r w:rsidRPr="003E4B3D">
        <w:rPr>
          <w:rFonts w:ascii="Times New Roman" w:hAnsi="Times New Roman"/>
          <w:sz w:val="28"/>
          <w:szCs w:val="28"/>
        </w:rPr>
        <w:t xml:space="preserve">4 спортивных школ,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централизованной бухгалтерии.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разделу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«Общегосударственные вопросы»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расходы запланированы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198 367,9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удельный вес от общих расходов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4,9 %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. Средства запланированы на содержание муниципальных учреждений и органов местного самоуправления. Относительно 2019 года прогнозируется увеличение расходов на 466,9 тыс. рублей.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разделу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"Национальная экономика"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расходы предусмотрены  в размере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87 984,0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руб., в том числе: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 на содержание Комитета по земельным ресурсам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25 977,9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на содержание МБУ «Единая дирекция по капитальному строительству» -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1 244,2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на межбюджетные трансферты сельским поселениям в части дорожной деятельности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16 311,3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на содержание автомобильных дорог общего пользования, за счет средств муниципального дорожного фонда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11 672,1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на капитальный ремонт, ремонт и  содержание дорог общего пользования местного значения, за счет субсидий из областного бюджета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30 345,5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на проведение мероприятий по отлову и содержанию безнадзорных животных, за счет субвенций из областного бюджета –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2 433,0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C97575" w:rsidRPr="003E4B3D" w:rsidRDefault="00C97575" w:rsidP="00C97575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сравнению с первоначальным планом на 2019 год в 2020 году по данной отрасли прогнозируется увеличение расходов на 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32 039,3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руб. </w:t>
      </w:r>
    </w:p>
    <w:p w:rsidR="00C97575" w:rsidRPr="003E4B3D" w:rsidRDefault="00C97575" w:rsidP="00C97575">
      <w:pPr>
        <w:spacing w:after="0" w:line="240" w:lineRule="auto"/>
        <w:ind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hAnsi="Times New Roman"/>
          <w:sz w:val="28"/>
          <w:szCs w:val="28"/>
        </w:rPr>
        <w:t xml:space="preserve">По разделу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E4B3D">
        <w:rPr>
          <w:rFonts w:ascii="Times New Roman" w:hAnsi="Times New Roman"/>
          <w:b/>
          <w:sz w:val="28"/>
          <w:szCs w:val="28"/>
        </w:rPr>
        <w:t>Жилищно-коммунальное хозяйство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3E4B3D">
        <w:rPr>
          <w:rFonts w:ascii="Times New Roman" w:hAnsi="Times New Roman"/>
          <w:sz w:val="28"/>
          <w:szCs w:val="28"/>
        </w:rPr>
        <w:t xml:space="preserve"> всего запланировано расходов в объеме </w:t>
      </w:r>
      <w:r w:rsidRPr="003E4B3D">
        <w:rPr>
          <w:rFonts w:ascii="Times New Roman" w:hAnsi="Times New Roman"/>
          <w:b/>
          <w:sz w:val="28"/>
          <w:szCs w:val="28"/>
        </w:rPr>
        <w:t>75 529,7</w:t>
      </w:r>
      <w:r w:rsidRPr="003E4B3D">
        <w:rPr>
          <w:rFonts w:ascii="Times New Roman" w:hAnsi="Times New Roman"/>
          <w:sz w:val="28"/>
          <w:szCs w:val="28"/>
        </w:rPr>
        <w:t xml:space="preserve"> тыс. рублей.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Средства планируется направить на содержание МКУ «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Энгельсская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недвижимость», ежемесячные взносы на капитальный ремонт общего имущества в многоквартирных домах.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По сравнению с первоначальным планом на 2019 год в 2020 году по данной отрасли прогнозируется увеличение расходов на </w:t>
      </w:r>
      <w:r w:rsidRPr="003E4B3D">
        <w:rPr>
          <w:rFonts w:ascii="Times New Roman" w:hAnsi="Times New Roman"/>
          <w:b/>
          <w:sz w:val="28"/>
          <w:szCs w:val="28"/>
        </w:rPr>
        <w:t>5 212,3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3E4B3D">
        <w:rPr>
          <w:rFonts w:ascii="Times New Roman" w:hAnsi="Times New Roman"/>
          <w:sz w:val="28"/>
          <w:szCs w:val="28"/>
        </w:rPr>
        <w:t xml:space="preserve">По разделу </w:t>
      </w:r>
      <w:r w:rsidRPr="003E4B3D">
        <w:rPr>
          <w:rFonts w:ascii="Times New Roman" w:hAnsi="Times New Roman"/>
          <w:b/>
          <w:sz w:val="28"/>
          <w:szCs w:val="28"/>
        </w:rPr>
        <w:t>"Социальная политика"</w:t>
      </w:r>
      <w:r w:rsidRPr="003E4B3D">
        <w:rPr>
          <w:rFonts w:ascii="Times New Roman" w:hAnsi="Times New Roman"/>
          <w:sz w:val="28"/>
          <w:szCs w:val="28"/>
        </w:rPr>
        <w:t xml:space="preserve"> расходы предусматриваются в объеме </w:t>
      </w:r>
      <w:r w:rsidRPr="003E4B3D">
        <w:rPr>
          <w:rFonts w:ascii="Times New Roman" w:hAnsi="Times New Roman"/>
          <w:b/>
          <w:sz w:val="28"/>
          <w:szCs w:val="28"/>
        </w:rPr>
        <w:t>197 004,6</w:t>
      </w:r>
      <w:r w:rsidRPr="003E4B3D">
        <w:rPr>
          <w:rFonts w:ascii="Times New Roman" w:hAnsi="Times New Roman"/>
          <w:sz w:val="28"/>
          <w:szCs w:val="28"/>
        </w:rPr>
        <w:t xml:space="preserve"> тыс. руб., в том числе на исполнение публичных нормативных обязательств  в  сумме </w:t>
      </w:r>
      <w:r w:rsidRPr="003E4B3D">
        <w:rPr>
          <w:rFonts w:ascii="Times New Roman" w:hAnsi="Times New Roman"/>
          <w:b/>
          <w:sz w:val="28"/>
          <w:szCs w:val="28"/>
        </w:rPr>
        <w:t>195 684,7</w:t>
      </w:r>
      <w:r w:rsidRPr="003E4B3D">
        <w:rPr>
          <w:rFonts w:ascii="Times New Roman" w:hAnsi="Times New Roman"/>
          <w:sz w:val="28"/>
          <w:szCs w:val="28"/>
        </w:rPr>
        <w:t xml:space="preserve">  тыс. руб., из них на предоставление гражданам субсидий на оплату жилого помещения и коммунальных услуг </w:t>
      </w:r>
      <w:r w:rsidRPr="003E4B3D">
        <w:rPr>
          <w:rFonts w:ascii="Times New Roman" w:hAnsi="Times New Roman"/>
          <w:b/>
          <w:sz w:val="28"/>
          <w:szCs w:val="28"/>
        </w:rPr>
        <w:t>87 311,7</w:t>
      </w:r>
      <w:r w:rsidRPr="003E4B3D">
        <w:rPr>
          <w:rFonts w:ascii="Times New Roman" w:hAnsi="Times New Roman"/>
          <w:sz w:val="28"/>
          <w:szCs w:val="28"/>
        </w:rPr>
        <w:t xml:space="preserve"> тыс. руб., на пенсии за выслугу лет и доплаты к трудовой пенсии лицам, замещавшим должности муниципальной службы в органах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местного самоуправления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Pr="003E4B3D">
        <w:rPr>
          <w:rFonts w:ascii="Times New Roman" w:hAnsi="Times New Roman"/>
          <w:b/>
          <w:sz w:val="28"/>
          <w:szCs w:val="28"/>
        </w:rPr>
        <w:t>9 667,0</w:t>
      </w:r>
      <w:r w:rsidRPr="003E4B3D">
        <w:rPr>
          <w:rFonts w:ascii="Times New Roman" w:hAnsi="Times New Roman"/>
          <w:sz w:val="28"/>
          <w:szCs w:val="28"/>
        </w:rPr>
        <w:t xml:space="preserve"> тыс. руб., на выплаты Почетным гражданам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 </w:t>
      </w:r>
      <w:r w:rsidRPr="003E4B3D">
        <w:rPr>
          <w:rFonts w:ascii="Times New Roman" w:hAnsi="Times New Roman"/>
          <w:b/>
          <w:sz w:val="28"/>
          <w:szCs w:val="28"/>
        </w:rPr>
        <w:t>5 300,0</w:t>
      </w:r>
      <w:r w:rsidRPr="003E4B3D">
        <w:rPr>
          <w:rFonts w:ascii="Times New Roman" w:hAnsi="Times New Roman"/>
          <w:sz w:val="28"/>
          <w:szCs w:val="28"/>
        </w:rPr>
        <w:t xml:space="preserve"> тыс. руб., на ежемесячную денежную </w:t>
      </w:r>
      <w:proofErr w:type="gramStart"/>
      <w:r w:rsidRPr="003E4B3D">
        <w:rPr>
          <w:rFonts w:ascii="Times New Roman" w:hAnsi="Times New Roman"/>
          <w:sz w:val="28"/>
          <w:szCs w:val="28"/>
        </w:rPr>
        <w:t>выплату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на оплату жилого помещения и коммунальных услуг отдельным категориям граждан (пенсионеры-медики и медицинские работники в ДОУ) </w:t>
      </w:r>
      <w:r w:rsidRPr="003E4B3D">
        <w:rPr>
          <w:rFonts w:ascii="Times New Roman" w:hAnsi="Times New Roman"/>
          <w:b/>
          <w:sz w:val="28"/>
          <w:szCs w:val="28"/>
        </w:rPr>
        <w:t>2 017,0</w:t>
      </w:r>
      <w:r w:rsidRPr="003E4B3D">
        <w:rPr>
          <w:rFonts w:ascii="Times New Roman" w:hAnsi="Times New Roman"/>
          <w:sz w:val="28"/>
          <w:szCs w:val="28"/>
        </w:rPr>
        <w:t xml:space="preserve"> тыс. руб., на  компенсацию  родительской платы за присмотр и уход за детьми в  образовательных организациях, реализующих основную общеобразовательную программу дошкольного образования предусмотрено </w:t>
      </w:r>
      <w:r w:rsidRPr="003E4B3D">
        <w:rPr>
          <w:rFonts w:ascii="Times New Roman" w:hAnsi="Times New Roman"/>
          <w:b/>
          <w:sz w:val="28"/>
          <w:szCs w:val="28"/>
        </w:rPr>
        <w:t>91 389,0</w:t>
      </w:r>
      <w:r w:rsidRPr="003E4B3D">
        <w:rPr>
          <w:rFonts w:ascii="Times New Roman" w:hAnsi="Times New Roman"/>
          <w:sz w:val="28"/>
          <w:szCs w:val="28"/>
        </w:rPr>
        <w:t xml:space="preserve"> тыс. руб.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По сравнению с первоначальным планом на 2019 год в 2020 году по данной отрасли прогнозируется увеличение расходов на  </w:t>
      </w:r>
      <w:r w:rsidRPr="003E4B3D">
        <w:rPr>
          <w:rFonts w:ascii="Times New Roman" w:hAnsi="Times New Roman"/>
          <w:b/>
          <w:sz w:val="28"/>
          <w:szCs w:val="28"/>
        </w:rPr>
        <w:t>20 729,1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По разделу «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Обслуживание государственного и муниципального долга»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запланировано расходов на обслуживание муниципального долга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87 000,0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По разделу «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Межбюджетные трансферты»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всего запланировано расходов в объеме </w:t>
      </w: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21 167,7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числе: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– за счет субвенции областного бюджета на предоставление дотации поселениям 15 167,7 тыс. рублей,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– дотации на выравнивание уровня бюджетной обеспеченности поселений из районного фонда финансовой поддержки 6 000,0 тыс. рублей.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Динамика первоначально утвержденных бюджетов на 2018 – 2020 годы</w:t>
      </w:r>
    </w:p>
    <w:p w:rsidR="00C97575" w:rsidRPr="003E4B3D" w:rsidRDefault="00C97575" w:rsidP="00C97575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3E4B3D">
        <w:rPr>
          <w:rFonts w:ascii="Times New Roman" w:eastAsia="Times New Roman" w:hAnsi="Times New Roman"/>
          <w:sz w:val="24"/>
          <w:szCs w:val="24"/>
          <w:lang w:eastAsia="ru-RU"/>
        </w:rPr>
        <w:t>(тыс. рублей)</w:t>
      </w:r>
    </w:p>
    <w:tbl>
      <w:tblPr>
        <w:tblW w:w="10491" w:type="dxa"/>
        <w:tblInd w:w="-318" w:type="dxa"/>
        <w:tblLayout w:type="fixed"/>
        <w:tblLook w:val="04A0"/>
      </w:tblPr>
      <w:tblGrid>
        <w:gridCol w:w="1418"/>
        <w:gridCol w:w="1134"/>
        <w:gridCol w:w="1135"/>
        <w:gridCol w:w="1134"/>
        <w:gridCol w:w="992"/>
        <w:gridCol w:w="992"/>
        <w:gridCol w:w="851"/>
        <w:gridCol w:w="992"/>
        <w:gridCol w:w="850"/>
        <w:gridCol w:w="993"/>
      </w:tblGrid>
      <w:tr w:rsidR="00C97575" w:rsidRPr="003E4B3D" w:rsidTr="00165E96">
        <w:trPr>
          <w:trHeight w:val="2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2018 год (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первона-чальный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2018 год 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2019 год (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первона-чальный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2019 год (оценка)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первона-чальный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Рост  (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умень-шение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) 2019 года к первоначальному 2018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Отклоне-ние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2019 к 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Рост (уменьшение) 2020 года к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первоначальному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2018году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Отклонение 2020 к 2018</w:t>
            </w:r>
          </w:p>
        </w:tc>
      </w:tr>
      <w:tr w:rsidR="00C97575" w:rsidRPr="003E4B3D" w:rsidTr="00165E96">
        <w:trPr>
          <w:trHeight w:val="1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2 991 181,4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4 691 085,1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3 926 661,5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/>
                <w:bCs/>
                <w:sz w:val="15"/>
                <w:szCs w:val="15"/>
              </w:rPr>
              <w:t>5 512 310,4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4 002 357,3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131,3 %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935 480,1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133,8%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1 011 175,9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/>
                <w:bCs/>
                <w:sz w:val="15"/>
                <w:szCs w:val="15"/>
              </w:rPr>
              <w:t>2 991 181,4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4 777 765,7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3 926 661,5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/>
                <w:bCs/>
                <w:sz w:val="15"/>
                <w:szCs w:val="15"/>
              </w:rPr>
              <w:t>5 512 924,3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4 002 357,3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131,3%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935 480,1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133,8%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1 011 175,9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</w:pP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140 157,9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201 578,7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197 901,0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273 859,5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198 367,9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141,2%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57 743,1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141,5 %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58 210,0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</w:t>
            </w:r>
          </w:p>
        </w:tc>
      </w:tr>
      <w:tr w:rsidR="00C97575" w:rsidRPr="003E4B3D" w:rsidTr="00165E96">
        <w:trPr>
          <w:trHeight w:val="6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11 606,9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11 905,4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12 010,1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11 499,8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103,5%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403,2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-11 606,9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47 550,1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67 916,8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55 944,7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72 401,3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87 984,0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117,7%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8 394,6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color w:val="000000"/>
                <w:sz w:val="15"/>
                <w:szCs w:val="15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185,03%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40 433,9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56 367,5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210 852,8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70 317,4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color w:val="000000"/>
                <w:sz w:val="15"/>
                <w:szCs w:val="15"/>
              </w:rPr>
              <w:t>173 570,2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75 529,7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124,7%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13 949,9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134%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19 162,2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2 266 201,0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3 770 652,0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3 035 722,7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4 295 128,3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2 940 823,1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134,0%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769 521,7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129,8%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674 671,4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Культура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182 808,8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197 267,1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234 574,0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274 906,8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258 794,5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128,3%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51 765,2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141,5%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75 936,4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Здравоохранение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141 198,5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194 547,0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176 275,5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226 850,6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197 004,6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124,8%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35 077,0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139,5%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55 806,1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1 456,6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6 018,5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6 942,0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59 954,7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135 685,8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476,6%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5 485,4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9 315,2%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134 229,2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500,0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457,0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100,0%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-500,0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103 000,0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94 108,2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96 000,0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88 100,0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87 000,0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93,2%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-7 000,0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84,5%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-16 000,0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E4B3D">
              <w:rPr>
                <w:rFonts w:ascii="Times New Roman" w:hAnsi="Times New Roman"/>
                <w:sz w:val="15"/>
                <w:szCs w:val="15"/>
              </w:rPr>
              <w:t>40 334,1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22 549,2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40 474,1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3E4B3D">
              <w:rPr>
                <w:rFonts w:ascii="Times New Roman" w:hAnsi="Times New Roman"/>
                <w:bCs/>
                <w:sz w:val="15"/>
                <w:szCs w:val="15"/>
              </w:rPr>
              <w:t>36 196,1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21 167,7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100,3%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52,5%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>-19 166,4</w:t>
            </w:r>
          </w:p>
        </w:tc>
      </w:tr>
      <w:tr w:rsidR="00C97575" w:rsidRPr="003E4B3D" w:rsidTr="00165E96">
        <w:trPr>
          <w:trHeight w:val="3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Дефицит (</w:t>
            </w:r>
            <w:proofErr w:type="spellStart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профицит</w:t>
            </w:r>
            <w:proofErr w:type="spellEnd"/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- 613,9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color w:val="000000"/>
                <w:sz w:val="15"/>
                <w:szCs w:val="15"/>
                <w:lang w:eastAsia="ru-RU"/>
              </w:rPr>
              <w:t>0,0</w:t>
            </w:r>
          </w:p>
        </w:tc>
      </w:tr>
    </w:tbl>
    <w:p w:rsidR="00C97575" w:rsidRPr="003E4B3D" w:rsidRDefault="00C97575" w:rsidP="00C97575">
      <w:pPr>
        <w:keepNext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keepNext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Первоначально утвержденные бюджеты </w:t>
      </w:r>
      <w:proofErr w:type="spellStart"/>
      <w:r w:rsidRPr="003E4B3D">
        <w:rPr>
          <w:rFonts w:ascii="Times New Roman" w:hAnsi="Times New Roman"/>
          <w:b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</w:t>
      </w:r>
    </w:p>
    <w:p w:rsidR="00C97575" w:rsidRPr="003E4B3D" w:rsidRDefault="00C97575" w:rsidP="00C97575">
      <w:pPr>
        <w:keepNext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муниципального на 2018 – 2020 годы района </w:t>
      </w:r>
    </w:p>
    <w:p w:rsidR="00C97575" w:rsidRPr="003E4B3D" w:rsidRDefault="00C97575" w:rsidP="00C97575">
      <w:pPr>
        <w:keepNext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по основным разделам (тыс. рублей)</w:t>
      </w:r>
    </w:p>
    <w:p w:rsidR="00C97575" w:rsidRPr="003E4B3D" w:rsidRDefault="00C97575" w:rsidP="00C97575">
      <w:pPr>
        <w:keepNext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97575" w:rsidRDefault="00C97575" w:rsidP="00C97575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56325" cy="3348990"/>
            <wp:effectExtent l="0" t="0" r="0" b="0"/>
            <wp:docPr id="7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Сведения о расходах бюджета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Энгельсского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 по разделам и подразделам классификации расходов бюджета</w:t>
      </w:r>
    </w:p>
    <w:p w:rsidR="00C97575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Look w:val="04A0"/>
      </w:tblPr>
      <w:tblGrid>
        <w:gridCol w:w="621"/>
        <w:gridCol w:w="1962"/>
        <w:gridCol w:w="1284"/>
        <w:gridCol w:w="1284"/>
        <w:gridCol w:w="1159"/>
        <w:gridCol w:w="1453"/>
        <w:gridCol w:w="1525"/>
      </w:tblGrid>
      <w:tr w:rsidR="00C97575" w:rsidRPr="0096248D" w:rsidTr="00165E96">
        <w:trPr>
          <w:trHeight w:val="900"/>
          <w:tblHeader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Р</w:t>
            </w:r>
            <w:proofErr w:type="gramEnd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/</w:t>
            </w:r>
            <w:proofErr w:type="spell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з</w:t>
            </w:r>
            <w:proofErr w:type="spellEnd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, П/</w:t>
            </w:r>
            <w:proofErr w:type="spell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Фактическое исполнение за 201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</w:t>
            </w: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г.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Оценка 2019 года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Проект бюджета 2020 год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2535C0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Проект бюджета 2021 год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C97575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Проект бюджета </w:t>
            </w:r>
          </w:p>
          <w:p w:rsidR="00C97575" w:rsidRPr="002535C0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2022 год</w:t>
            </w:r>
          </w:p>
        </w:tc>
      </w:tr>
      <w:tr w:rsidR="00C97575" w:rsidRPr="0096248D" w:rsidTr="00165E96">
        <w:trPr>
          <w:trHeight w:val="67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2 293,5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2 693,2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2587,1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2587,1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2587,1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0103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Функционирование представительных органов муниципальных образований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15 975,8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17 107,0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17 207,9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17 207,9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17 207,9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100 291,9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101 930,0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97 507,4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97 507,4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97 507,4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0105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311,6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32,4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C97575" w:rsidRPr="0096248D" w:rsidTr="00165E96">
        <w:trPr>
          <w:trHeight w:val="64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Обеспечение деятельности финансовых органов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27 066,7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28 790,6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27 103,8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27 103,8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27 103,8</w:t>
            </w:r>
          </w:p>
        </w:tc>
      </w:tr>
      <w:tr w:rsidR="00C97575" w:rsidRPr="0096248D" w:rsidTr="00165E96">
        <w:trPr>
          <w:trHeight w:val="64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41BC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1000,0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55 639,2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123 306,3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53 961,7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53 973,2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56 693,2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41BC8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941BC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201 578,7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273 859,5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198 367,9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41BC8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941BC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199 379,4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41BC8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941BC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 202 099,4</w:t>
            </w:r>
          </w:p>
        </w:tc>
      </w:tr>
      <w:tr w:rsidR="00C97575" w:rsidRPr="0096248D" w:rsidTr="00165E96">
        <w:trPr>
          <w:trHeight w:val="90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0309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11 905,4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11 499,8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C97575" w:rsidRPr="0096248D" w:rsidTr="00165E96">
        <w:trPr>
          <w:trHeight w:val="63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811B51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11B51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11 905,4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11499,8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811B51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11B51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811B51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11B51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0,0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0405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446,2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2 433,0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2 433,0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2433,0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2 433,0 </w:t>
            </w:r>
          </w:p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37 167,6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38466,0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58 328,9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39 785,0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39 785,0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30 303,0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31 502,3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27 222,1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27 222,1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27 222,1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67 916,8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72 401,3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87 984,0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69 440,1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69 440,1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89 786,2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74272,5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786,0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786,0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786,0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10 573,0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15 552,3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0,0 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110 493,6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83745,4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74 743,7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68 499,4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68 499,4</w:t>
            </w:r>
          </w:p>
        </w:tc>
      </w:tr>
      <w:tr w:rsidR="00C97575" w:rsidRPr="0096248D" w:rsidTr="00165E96">
        <w:trPr>
          <w:trHeight w:val="4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210 852,8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173 570,2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75 529,7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69 285,4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69 285,4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1 111 105,4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1 872 431,0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1 033 675,5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933 515,7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968 330,0 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0702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2 297 136,8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2 023 531,3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1 562 626,4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1 646 571,0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1799 425,5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0703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295 270,0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317 418,0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273 409,8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240 981,6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240 981,6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14 760,1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22 000,0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11 919,8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11 040,2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11 040,2 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0709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52 379,7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59748,0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59 240,9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58 414,0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58 588,4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3 770 652,0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4 295 128,3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2 940 872,4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2 890 522,5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3 078 365,7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131 489,4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187 533,8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159 531,7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147 315,3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151 360,6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0804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65 777,7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87 373,0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</w:p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99 213,5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95 468,9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95 468,9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197 267,1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274 906,8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258 745,2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242 784,2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246 829,5</w:t>
            </w:r>
          </w:p>
        </w:tc>
      </w:tr>
      <w:tr w:rsidR="00C97575" w:rsidRPr="0096248D" w:rsidTr="00165E96">
        <w:trPr>
          <w:trHeight w:val="568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7 665,8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9 335,7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9 763,7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9 763,7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9 763,7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108 146,1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100 934,7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95 575,0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98 749,7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101 947,3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78 735,1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116 580,2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91 665,9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91 666,4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91 668,4</w:t>
            </w:r>
          </w:p>
        </w:tc>
      </w:tr>
      <w:tr w:rsidR="00C97575" w:rsidRPr="000F1FE6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194 547,0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226 850,6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7F187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F187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197 004,6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7F187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F187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200 179,8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C97575" w:rsidRPr="007F187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7F187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203 379,4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Физическая культура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141,1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51 032,9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115 699,8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99 232,8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99 232,8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10 640,0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C97575" w:rsidRPr="0096248D" w:rsidTr="00165E96">
        <w:trPr>
          <w:trHeight w:val="45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1105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5 877,4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8 921,8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18163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9 346,0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9 026,1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0F1FE6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9 026,1</w:t>
            </w:r>
          </w:p>
        </w:tc>
      </w:tr>
      <w:tr w:rsidR="00C97575" w:rsidRPr="0096248D" w:rsidTr="00165E96">
        <w:trPr>
          <w:trHeight w:val="354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BB26E4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6 018,5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BB26E4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59 954,7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BB26E4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97575" w:rsidRPr="00BB26E4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135 685,8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BB26E4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108 258,9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C97575" w:rsidRPr="00BB26E4" w:rsidRDefault="00C97575" w:rsidP="00165E96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108 258,9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370,0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BB26E4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457,0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BB26E4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26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0,0 </w:t>
            </w:r>
          </w:p>
        </w:tc>
      </w:tr>
      <w:tr w:rsidR="00C97575" w:rsidRPr="0096248D" w:rsidTr="00165E96">
        <w:trPr>
          <w:trHeight w:val="25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370,0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457,0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C97575" w:rsidRPr="0096248D" w:rsidTr="00165E96">
        <w:trPr>
          <w:trHeight w:val="67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Обслуживание внутреннего муниципального долга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94 108,2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88 100,0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87 000,0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34 614,4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45 000,0</w:t>
            </w:r>
          </w:p>
        </w:tc>
      </w:tr>
      <w:tr w:rsidR="00C97575" w:rsidRPr="0096248D" w:rsidTr="00165E96">
        <w:trPr>
          <w:trHeight w:val="4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94 108,2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88 100,0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87 000,0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34 614,4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45 000,0</w:t>
            </w:r>
          </w:p>
        </w:tc>
      </w:tr>
      <w:tr w:rsidR="00C97575" w:rsidRPr="0096248D" w:rsidTr="00165E96">
        <w:trPr>
          <w:trHeight w:val="90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образований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13 699,2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20474,1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18163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6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21 167,7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21 940,0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22 557,8 </w:t>
            </w:r>
          </w:p>
        </w:tc>
      </w:tr>
      <w:tr w:rsidR="00C97575" w:rsidRPr="00067CB7" w:rsidTr="00165E96">
        <w:trPr>
          <w:trHeight w:val="84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575" w:rsidRPr="00067CB7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1403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067CB7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7CB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межбюджетные трансферты бюджетам муниципальных образований общего характера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8 850,0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15 722,0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0F1FE6" w:rsidRDefault="00C97575" w:rsidP="00165E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C97575" w:rsidRPr="0096248D" w:rsidTr="00165E96">
        <w:trPr>
          <w:trHeight w:val="84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22 549,2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36 196,1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21 167,7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21 940,0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22 557,8</w:t>
            </w:r>
          </w:p>
        </w:tc>
      </w:tr>
      <w:tr w:rsidR="00C97575" w:rsidRPr="0096248D" w:rsidTr="00165E96">
        <w:trPr>
          <w:trHeight w:val="437"/>
        </w:trPr>
        <w:tc>
          <w:tcPr>
            <w:tcW w:w="1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6248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4 777 765,7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96248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5 512 924,3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4 002 357,3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3 836 404,7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C97575" w:rsidRPr="000F1FE6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F1FE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4 045 216,2</w:t>
            </w:r>
          </w:p>
        </w:tc>
      </w:tr>
    </w:tbl>
    <w:p w:rsidR="00C97575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Сведения о расходах бюджета </w:t>
      </w:r>
      <w:proofErr w:type="spellStart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 на реализацию муниципальных программ, а также о  целевых показателях (индикаторах), планируемых к достижению в результате их реализации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Муниципальная программа «Молодежь </w:t>
      </w:r>
      <w:proofErr w:type="spellStart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>Энгельсского</w:t>
      </w:r>
      <w:proofErr w:type="spellEnd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 муниципального района  на 2015-2021 годы</w:t>
      </w:r>
    </w:p>
    <w:p w:rsidR="00C97575" w:rsidRPr="003E4B3D" w:rsidRDefault="00C97575" w:rsidP="00C97575">
      <w:pPr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Цели муниципальной программы: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и реализация потенциала молодежи в интересах 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патриотического, духовно – нравственного воспитания детей и молодежи;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содействие в развитии добровольческой (волонтерской) деятельности;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содействие в развитии молодежной политики и охраны здоровья детей и молодежи, а также пропаганды здорового образа жизни;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поддержка общественно-значимых молодежных инициатив, проектов, детского и молодежного движения, детских и молодежных организаций;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содействие укреплению престижа и роли семьи в обществе;</w:t>
      </w:r>
    </w:p>
    <w:p w:rsidR="00C97575" w:rsidRPr="003E4B3D" w:rsidRDefault="00C97575" w:rsidP="00C97575">
      <w:pPr>
        <w:pStyle w:val="a3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содействие в улучшении морально-психологического состояния молодежи. </w:t>
      </w:r>
    </w:p>
    <w:p w:rsidR="00C97575" w:rsidRPr="003E4B3D" w:rsidRDefault="00C97575" w:rsidP="00C97575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Прогноз конечных результатов муниципальной программы: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молодых людей, принимающих участие  в молодежных акциях и мероприятиях, с 30 % в 2014 году до 37 % в 2021 году;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увеличение количества молодых людей, принимающих участие в творческих, спортивных, научных и других мероприятиях, с 17 % в 2014 году до 23 % в 2021 году; 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молодых людей, участвующих в социально-значимых проектах и мероприятиях, с 40% в 2014 году до 49% в 2021 году;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молодых людей,  занимающихся волонтерской деятельностью,     с 11% в 2014 году до 17% в 2021 году;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молодых людей – членов молодежных и детских общественных организаций и объединений с 22% в 2014 году до 28% в 2021 году;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количества молодых людей, принимающих участие в деятельности молодёжных организаций, клубов патриотической направленности, поисковых отрядов,  школьных музеев и уголков Боевой Славы, с 8% в 2014 году до 14% в 2021 году; </w:t>
      </w:r>
    </w:p>
    <w:p w:rsidR="00C97575" w:rsidRPr="003E4B3D" w:rsidRDefault="00C97575" w:rsidP="00C97575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молодых людей, принимающих участие в мероприятиях военно-патриотической направленности, с 15 % в 2014 году до 21% в 2021 году;</w:t>
      </w:r>
    </w:p>
    <w:p w:rsidR="00C97575" w:rsidRPr="003E4B3D" w:rsidRDefault="00C97575" w:rsidP="00C97575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по итогам 2018 года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достижения следующих значений целевых показателей результативности предоставления Субсидии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- соотношение средней заработной платы работников муниципальных учреждений (за исключением органов местного самоуправления), на которых не распространяются Указы Президента Российской Федерации, за 2018 год к фактической средней заработной плате работников муниципальных учреждений за 2017 год - не менее 4,0 %;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количество 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в 2018 году ниже минимального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размера оплаты труда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– 0 человек.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color w:val="000000"/>
          <w:sz w:val="28"/>
          <w:szCs w:val="28"/>
        </w:rPr>
        <w:t>Сведения о целевых показателях (индикаторах) муниципальной программы: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276"/>
        <w:gridCol w:w="992"/>
        <w:gridCol w:w="850"/>
        <w:gridCol w:w="851"/>
        <w:gridCol w:w="850"/>
      </w:tblGrid>
      <w:tr w:rsidR="00C97575" w:rsidRPr="003E4B3D" w:rsidTr="00165E96">
        <w:trPr>
          <w:cantSplit/>
          <w:trHeight w:val="46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2017 год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(отчет)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C97575" w:rsidRPr="003E4B3D" w:rsidTr="00165E96">
        <w:trPr>
          <w:cantSplit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C97575" w:rsidRPr="003E4B3D" w:rsidTr="00165E96">
        <w:trPr>
          <w:cantSplit/>
          <w:trHeight w:val="11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Подготовка молодежи к участию в общественно-политической жизни страны, государственной и муниципальной деятельности и управлении, профессиональная ориентация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молодых людей, принимающих участие в молодежных акциях и мероприятиях (от общей численности молодежи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E4B3D">
              <w:rPr>
                <w:rFonts w:ascii="Times New Roman" w:eastAsia="Times New Roman" w:hAnsi="Times New Roman"/>
                <w:bCs/>
                <w:sz w:val="24"/>
                <w:szCs w:val="24"/>
              </w:rPr>
              <w:t>37</w:t>
            </w:r>
          </w:p>
        </w:tc>
      </w:tr>
      <w:tr w:rsidR="00C97575" w:rsidRPr="003E4B3D" w:rsidTr="00165E96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Выработка эффективных форм взаимодействия с детскими и молодежными общественными объединениями по реализации муниципальной  молодежной политики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молодых людей – членов молодежных и детских общественных организаций и объединений (от общей численности молодёжи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28</w:t>
            </w:r>
          </w:p>
        </w:tc>
      </w:tr>
      <w:tr w:rsidR="00C97575" w:rsidRPr="003E4B3D" w:rsidTr="00165E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Создание условий для реализации творческого потенциала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 молодых людей, принимающих участие в творческих, спортивных, научных и других мероприятиях (от общей численности молодёжи 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23</w:t>
            </w:r>
          </w:p>
        </w:tc>
      </w:tr>
      <w:tr w:rsidR="00C97575" w:rsidRPr="003E4B3D" w:rsidTr="00165E96">
        <w:trPr>
          <w:cantSplit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Информационное и организационное развитие системы работы с молодежью в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Энгельсском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 муниципальном районе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молодых людей, участвующих  в социально-значимых проектах и мероприятиях (от общей численности молодежи 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48,5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49</w:t>
            </w:r>
          </w:p>
        </w:tc>
      </w:tr>
      <w:tr w:rsidR="00C97575" w:rsidRPr="003E4B3D" w:rsidTr="00165E96">
        <w:trPr>
          <w:cantSplit/>
          <w:trHeight w:val="5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молодых людей, принимающих участие в деятельности муниципального бюджетного учреждения «Центр молодежных инициатив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района» (от общей численности молодежи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17</w:t>
            </w:r>
          </w:p>
        </w:tc>
      </w:tr>
      <w:tr w:rsidR="00C97575" w:rsidRPr="003E4B3D" w:rsidTr="00165E96">
        <w:trPr>
          <w:cantSplit/>
          <w:trHeight w:val="5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Формирование системы мероприятий  по духовно-нравственному  и гражданско-патриотическому воспитанию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Количество молодых людей, принимающих участие в деятельности молодёжных организаций, клубов патриотической направленности, поисковых отрядов,  школьных музеев и уголков Боевой Славы (</w:t>
            </w:r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% </w:t>
            </w:r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общей численности молодёжи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14</w:t>
            </w:r>
          </w:p>
        </w:tc>
      </w:tr>
      <w:tr w:rsidR="00C97575" w:rsidRPr="003E4B3D" w:rsidTr="00165E96">
        <w:trPr>
          <w:cantSplit/>
          <w:trHeight w:val="5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Развитие системы военно-патриотического воспитания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Количество молодых людей, принимающих участие в мероприятиях военно-патриотической направленности (</w:t>
            </w:r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% </w:t>
            </w:r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общей численности молодёжи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района),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bCs/>
                <w:sz w:val="28"/>
                <w:szCs w:val="28"/>
              </w:rPr>
              <w:t>21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муниципальной программы,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8"/>
        <w:gridCol w:w="2319"/>
        <w:gridCol w:w="1386"/>
        <w:gridCol w:w="1679"/>
        <w:gridCol w:w="1455"/>
        <w:gridCol w:w="1140"/>
        <w:gridCol w:w="1282"/>
      </w:tblGrid>
      <w:tr w:rsidR="00C97575" w:rsidRPr="003E4B3D" w:rsidTr="00165E96">
        <w:trPr>
          <w:trHeight w:val="707"/>
        </w:trPr>
        <w:tc>
          <w:tcPr>
            <w:tcW w:w="67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1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 </w:t>
            </w:r>
          </w:p>
        </w:tc>
        <w:tc>
          <w:tcPr>
            <w:tcW w:w="138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67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5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140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282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C97575" w:rsidRPr="003E4B3D" w:rsidTr="00165E96">
        <w:trPr>
          <w:trHeight w:val="86"/>
        </w:trPr>
        <w:tc>
          <w:tcPr>
            <w:tcW w:w="67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19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Молодежь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на 2015-2021 годы</w:t>
            </w:r>
          </w:p>
        </w:tc>
        <w:tc>
          <w:tcPr>
            <w:tcW w:w="1386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6 141,1</w:t>
            </w:r>
          </w:p>
        </w:tc>
        <w:tc>
          <w:tcPr>
            <w:tcW w:w="1679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9 133,9</w:t>
            </w:r>
          </w:p>
        </w:tc>
        <w:tc>
          <w:tcPr>
            <w:tcW w:w="1455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7 296,9</w:t>
            </w:r>
          </w:p>
        </w:tc>
        <w:tc>
          <w:tcPr>
            <w:tcW w:w="1140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6 927,8</w:t>
            </w:r>
          </w:p>
        </w:tc>
        <w:tc>
          <w:tcPr>
            <w:tcW w:w="1282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6 927,8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Муниципальная программа «Развитие физической культуры и спорта на территории </w:t>
      </w:r>
      <w:proofErr w:type="spellStart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>Энгельсского</w:t>
      </w:r>
      <w:proofErr w:type="spellEnd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 муниципального района» на 2018-2021 годы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Цели муниципальной программы:</w:t>
      </w:r>
      <w:r w:rsidRPr="003E4B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условий для развития физической культуры и спорта на территории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района.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Прогноз конечных результатов муниципальной программы: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населения муниципального района, систематически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adjustRightInd w:val="0"/>
        <w:spacing w:after="0" w:line="264" w:lineRule="auto"/>
        <w:ind w:left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занимающегося физической культурой и спортом, от общей численности населения - с 29,0 процента в 2017 году до 31,5 процента в 2021 году;</w:t>
      </w:r>
    </w:p>
    <w:p w:rsidR="00C97575" w:rsidRPr="003E4B3D" w:rsidRDefault="00C97575" w:rsidP="00C97575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обеспечение по итогам 2018 года достижения  следующих значений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 w:line="264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>целевых показателей результативности предоставления Субсидии:</w:t>
      </w:r>
    </w:p>
    <w:p w:rsidR="00C97575" w:rsidRPr="003E4B3D" w:rsidRDefault="00C97575" w:rsidP="00C97575">
      <w:pPr>
        <w:pStyle w:val="a3"/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- соотношение средней заработной платы работников муниципальных учреждений, (за исключением органов местного самоуправления) на которых не распространяются Указы Президента Российской Федерации, за 2018 год к фактической средней заработной плате работников муниципальных учреждений за 2017 год - не менее 4,0 %;</w:t>
      </w:r>
    </w:p>
    <w:p w:rsidR="00C97575" w:rsidRPr="003E4B3D" w:rsidRDefault="00C97575" w:rsidP="00C97575">
      <w:pPr>
        <w:widowControl w:val="0"/>
        <w:autoSpaceDE w:val="0"/>
        <w:autoSpaceDN w:val="0"/>
        <w:spacing w:after="0" w:line="264" w:lineRule="auto"/>
        <w:ind w:left="708" w:firstLine="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количество 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в 2018 году ниже минимального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размера оплаты труда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– 0 человек;</w:t>
      </w:r>
    </w:p>
    <w:p w:rsidR="00C97575" w:rsidRPr="00BB26E4" w:rsidRDefault="00C97575" w:rsidP="00C9757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B26E4">
        <w:rPr>
          <w:rFonts w:ascii="Times New Roman" w:hAnsi="Times New Roman"/>
          <w:sz w:val="28"/>
          <w:szCs w:val="28"/>
          <w:lang w:eastAsia="ru-RU"/>
        </w:rPr>
        <w:t>повышение уровня организации отдыха детей в каникулярное время.</w:t>
      </w: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bCs/>
          <w:sz w:val="28"/>
          <w:szCs w:val="28"/>
        </w:rPr>
        <w:lastRenderedPageBreak/>
        <w:t xml:space="preserve">Сведения о целевых показателях (индикаторах) муниципальной программы: </w:t>
      </w:r>
    </w:p>
    <w:tbl>
      <w:tblPr>
        <w:tblW w:w="9356" w:type="dxa"/>
        <w:tblInd w:w="1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80"/>
        <w:gridCol w:w="2481"/>
        <w:gridCol w:w="1134"/>
        <w:gridCol w:w="1134"/>
        <w:gridCol w:w="993"/>
        <w:gridCol w:w="1134"/>
      </w:tblGrid>
      <w:tr w:rsidR="00C97575" w:rsidRPr="003E4B3D" w:rsidTr="00165E96">
        <w:trPr>
          <w:trHeight w:val="583"/>
          <w:tblHeader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Наименование целевого показателя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2021 год</w:t>
            </w:r>
          </w:p>
        </w:tc>
      </w:tr>
      <w:tr w:rsidR="00C97575" w:rsidRPr="003E4B3D" w:rsidTr="00165E96">
        <w:trPr>
          <w:trHeight w:val="24"/>
          <w:tblHeader/>
        </w:trPr>
        <w:tc>
          <w:tcPr>
            <w:tcW w:w="24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B3D">
              <w:rPr>
                <w:rFonts w:ascii="Times New Roman" w:hAnsi="Times New Roman"/>
                <w:b/>
              </w:rPr>
              <w:t>7</w:t>
            </w:r>
          </w:p>
        </w:tc>
      </w:tr>
      <w:tr w:rsidR="00C97575" w:rsidRPr="003E4B3D" w:rsidTr="00165E96">
        <w:trPr>
          <w:cantSplit/>
          <w:trHeight w:val="3803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Проведение физкультурно-оздоровительных и спортивно-массовых мероприятий среди всех возрастных групп населения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Сохранение числа занимающихся физической культурой и спортом среди населения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(в % соотношение от общей численности жителей, проживающих на территории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C97575" w:rsidRPr="003E4B3D" w:rsidTr="00165E96">
        <w:trPr>
          <w:cantSplit/>
          <w:trHeight w:val="3166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Обеспечение участия  муниципальных сборных команд и по видам спорта в областных, окружных (ПФО), всероссийских и международных соревнованиях и учебно-тренировочных сборах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участие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энгельсских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спортсменов в соревнованиях (количество человек принявших участие в соревнованиях)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C97575" w:rsidRPr="003E4B3D" w:rsidTr="00165E96">
        <w:trPr>
          <w:cantSplit/>
          <w:trHeight w:val="15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Повышение уровня организации отдыха детей в каникулярное время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Охват летним отдыхом в загородной стационарной детской оздоровительной организации (не менее 200 детей)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C97575" w:rsidRPr="003E4B3D" w:rsidTr="00165E96">
        <w:trPr>
          <w:cantSplit/>
          <w:trHeight w:val="3142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Повышение квалификации руководителей и специалистов, работающих в сфере физической культуры и спорта, организация рабочих встреч и командировок по вопросам развития и реализации политики в области физической культуры и спорта 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rPr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Повышение квалификации специалистов в области</w:t>
            </w:r>
            <w:r w:rsidRPr="003E4B3D">
              <w:rPr>
                <w:sz w:val="28"/>
                <w:szCs w:val="28"/>
              </w:rPr>
              <w:t xml:space="preserve"> </w:t>
            </w:r>
            <w:r w:rsidRPr="003E4B3D">
              <w:rPr>
                <w:rFonts w:ascii="Times New Roman" w:hAnsi="Times New Roman"/>
                <w:sz w:val="28"/>
                <w:szCs w:val="28"/>
              </w:rPr>
              <w:t>физической культуры и спорта, не менее 1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E4B3D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C97575" w:rsidRPr="003E4B3D" w:rsidRDefault="00C97575" w:rsidP="00C9757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муниципальной программы,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307"/>
        <w:gridCol w:w="1237"/>
        <w:gridCol w:w="1276"/>
        <w:gridCol w:w="1417"/>
        <w:gridCol w:w="1276"/>
        <w:gridCol w:w="1418"/>
      </w:tblGrid>
      <w:tr w:rsidR="00C97575" w:rsidRPr="003E4B3D" w:rsidTr="00165E96">
        <w:tc>
          <w:tcPr>
            <w:tcW w:w="6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0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 </w:t>
            </w:r>
          </w:p>
        </w:tc>
        <w:tc>
          <w:tcPr>
            <w:tcW w:w="123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2018 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2019 год 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41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C97575" w:rsidRPr="003E4B3D" w:rsidTr="00165E96">
        <w:tc>
          <w:tcPr>
            <w:tcW w:w="6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07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Развитие физической культуры и спорта на территории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на 2018-2021 годы</w:t>
            </w:r>
          </w:p>
        </w:tc>
        <w:tc>
          <w:tcPr>
            <w:tcW w:w="1237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97439,2</w:t>
            </w:r>
          </w:p>
        </w:tc>
        <w:tc>
          <w:tcPr>
            <w:tcW w:w="1276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150440,9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131 916,2</w:t>
            </w:r>
          </w:p>
        </w:tc>
        <w:tc>
          <w:tcPr>
            <w:tcW w:w="1276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104489,3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104 489,3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3E4B3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lastRenderedPageBreak/>
        <w:t xml:space="preserve">Муниципальная программа «Развитие образования в </w:t>
      </w:r>
      <w:proofErr w:type="spellStart"/>
      <w:r w:rsidRPr="003E4B3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Энгельсском</w:t>
      </w:r>
      <w:proofErr w:type="spellEnd"/>
      <w:r w:rsidRPr="003E4B3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 муниципальном районе» на 2018-2021 годы</w:t>
      </w: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 муниципальной программы: 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Повышение доступности качественного образования, соответствующего требованиям развития экономики, современным потребностям граждан.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Прогноз конечных результатов муниципальной программы: 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муниципальных дошкольных образовательных организаций, соответствующих требованиям федеральных государственных образовательных стандартов дошкольного образования, в общей численности дошкольных образовательных организаций;</w:t>
      </w:r>
    </w:p>
    <w:p w:rsidR="00C97575" w:rsidRPr="003E4B3D" w:rsidRDefault="00C97575" w:rsidP="00C97575">
      <w:pPr>
        <w:pStyle w:val="a3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детей, охваченных услугами дошкольного образования, в возрасте от 1 года 6 месяцев до 7 лет;</w:t>
      </w:r>
    </w:p>
    <w:p w:rsidR="00C97575" w:rsidRPr="003E4B3D" w:rsidRDefault="00C97575" w:rsidP="00C97575">
      <w:pPr>
        <w:pStyle w:val="a3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доли обучающихся общеобразовательных организаций, освоивших программы основного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br/>
        <w:t>и среднего общего образования, получивших документ об образовании, в общей численности обучающихся 9,11(12) классов, принимавших участие в ГИА;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доли обучающихся 4-х классов общеобразовательных организаций 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района, подтвердивших годовую отметку по предмету в ходе диагностических работ (в рамках мониторинга качества общего образования) в общей численности обучающихся 4-х классов, выполнявших диагностические работы;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доли педагогических работников, работающих с одаренными детьми, в общей численности педагогических работников общеобразовательных организаций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доли учащихся, участвующих в муниципальных предметных олимпиадах, региональных предметных олимпиадах, научных конференциях, конкурсах, фестивалях детского творчества, в общей численности обучающихся общеобразовательных организаций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увеличение доли образовательных организаций, оснащенных средствами пожарной безопасности и антитеррористической защищенности, в общей численности образовательных организаций;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сокращение доли образовательных организаций, здания и помещения которых требуют проведения текущего и капитального ремонта, в общей численности образовательных организаций;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рост удельного веса учащихся, занимающихся физической культурой и спортом во внеурочное время в сельских общеобразовательных организациях;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снижение доли сельских общеобразовательных организаций, в которых требуется ремонт спортивных залов;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увеличение доли детей, охваченных дополнительным образованием, в возрасте от 5 до 18 лет;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доля образовательных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организаций дополнительного образования, в которых созданы условия, гарантирующие доступность и качество предоставления дополнительного образования, в общей численности образовательных организаций дополнительного образования (не менее 100% на весь период реализации программы)</w:t>
      </w:r>
      <w:r w:rsidRPr="003E4B3D">
        <w:rPr>
          <w:rFonts w:ascii="Times New Roman" w:hAnsi="Times New Roman"/>
          <w:sz w:val="28"/>
          <w:szCs w:val="28"/>
        </w:rPr>
        <w:t>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доли детей-инвалидов в возрасте от 5 до 18 лет, получающих дополнительное образование, от общей численности детей-инвалидов данного возраста;</w:t>
      </w:r>
    </w:p>
    <w:p w:rsidR="00C97575" w:rsidRPr="003E4B3D" w:rsidRDefault="00C97575" w:rsidP="00C97575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увеличение числа детей, охваченных различными формами организованного отдыха, оздоровления, в общей численности детей муниципального района в возрасте 7-18 лет (не менее 82% к моменту завершения реализации Программы);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4B3D">
        <w:rPr>
          <w:rFonts w:ascii="Times New Roman" w:hAnsi="Times New Roman"/>
          <w:sz w:val="28"/>
          <w:szCs w:val="28"/>
          <w:lang w:eastAsia="zh-CN"/>
        </w:rPr>
        <w:t>о</w:t>
      </w:r>
      <w:r w:rsidRPr="003E4B3D">
        <w:rPr>
          <w:rFonts w:ascii="Times New Roman" w:hAnsi="Times New Roman"/>
          <w:sz w:val="28"/>
          <w:szCs w:val="28"/>
          <w:lang w:eastAsia="ru-RU"/>
        </w:rPr>
        <w:t>тношение принятых бюджетных обязательств к утвержденным плановым ассигнованиям;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доля </w:t>
      </w:r>
      <w:r w:rsidRPr="003E4B3D">
        <w:rPr>
          <w:rFonts w:ascii="Times New Roman" w:hAnsi="Times New Roman"/>
          <w:spacing w:val="-6"/>
          <w:sz w:val="28"/>
          <w:szCs w:val="28"/>
        </w:rPr>
        <w:t xml:space="preserve">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доведена до минимального </w:t>
      </w:r>
      <w:proofErr w:type="gramStart"/>
      <w:r w:rsidRPr="003E4B3D">
        <w:rPr>
          <w:rFonts w:ascii="Times New Roman" w:hAnsi="Times New Roman"/>
          <w:spacing w:val="-6"/>
          <w:sz w:val="28"/>
          <w:szCs w:val="28"/>
        </w:rPr>
        <w:t>размера оплаты труда</w:t>
      </w:r>
      <w:proofErr w:type="gramEnd"/>
      <w:r w:rsidRPr="003E4B3D">
        <w:rPr>
          <w:rFonts w:ascii="Times New Roman" w:hAnsi="Times New Roman"/>
          <w:spacing w:val="-6"/>
          <w:sz w:val="28"/>
          <w:szCs w:val="28"/>
        </w:rPr>
        <w:t xml:space="preserve"> в регионе;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отношение средней заработной платы работников муниципальных учреждений, на которых не распространяются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Указы Президента Российской Федерации, за 2018 год к фактической средней заработной плате работников муниципальных учреждений за 2017 год;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работников муниципальных учреждений и (или) органов местного самоуправления, заработная плата которых за полную отработку за месяц нормы рабочего времени и выполнение нормы труда (трудовых обязанностей) в 2019 году ниже минимального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размера оплаты труда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– 0 человек;</w:t>
      </w:r>
    </w:p>
    <w:p w:rsidR="00C97575" w:rsidRPr="003E4B3D" w:rsidRDefault="00C97575" w:rsidP="00C9757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средняя заработная плата педагогических работников муниципальных учреждений дополнительного образования детей за 2019 год должна составлять 100% от фактически сложившейся заработной платы учителей по области за 2019 год.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Сведения о целевых показателях (индикаторах) муниципальной программы </w:t>
      </w:r>
    </w:p>
    <w:p w:rsidR="00C97575" w:rsidRPr="003E4B3D" w:rsidRDefault="00C97575" w:rsidP="00C9757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3"/>
        <w:gridCol w:w="1275"/>
        <w:gridCol w:w="993"/>
        <w:gridCol w:w="1134"/>
        <w:gridCol w:w="850"/>
        <w:gridCol w:w="851"/>
      </w:tblGrid>
      <w:tr w:rsidR="00C97575" w:rsidRPr="003E4B3D" w:rsidTr="00165E96">
        <w:trPr>
          <w:trHeight w:val="553"/>
        </w:trPr>
        <w:tc>
          <w:tcPr>
            <w:tcW w:w="425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целенного показателя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</w:t>
            </w:r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зм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муниципальных дошкольных образовательных организаций, соответствующих требованиям федеральных государственных образовательных стандартов дошкольного образования, в общей численности дошкольных 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детей, охваченных услугами дошкольного образования, в возрасте от 1 года 6 месяцев до 7 лет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обучающихся общеобразовательных организаций, освоивших программы основного и среднего общего образования, получивших документ об образовании, в общей численности обучающихся 9,11(12) классов, принимавших </w:t>
            </w: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участие в ГИА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99,5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Доля обучающихся 4-х классов общеобразовательных организаций  муниципального района, подтвердивших годовую отметку по предмету в ходе диагностических работ (в рамках мониторинга качества общего образования) в общей численности обучающихся 4-х классов, выполнявших диагностические работы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педагогических работников, работающих с одаренными детьми, в общей численности педагогических работников общеобразовательных организаций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учащихся общеобразовательных организаций</w:t>
            </w:r>
            <w:r w:rsidRPr="003E4B3D">
              <w:rPr>
                <w:rFonts w:ascii="Times New Roman" w:hAnsi="Times New Roman"/>
                <w:sz w:val="28"/>
                <w:szCs w:val="28"/>
              </w:rPr>
              <w:t xml:space="preserve">, участвующих в олимпиадах и конкурсах различного уровня, </w:t>
            </w: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общей численности обучающихся общеобразовательных организаций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образовательных организаций, оснащенных средствами пожарной безопасности и антитеррористической защищенности, в общей численности образовательных организаций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образовательных организаций, здания и помещения которых требуют проведения текущего и капитального ремонта, в общей численности образовательных организаций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Удельный вес учащихся, занимающихся физической культурой и спортом во внеурочное время в сельских общеобразовательных </w:t>
            </w: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44,5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44,5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Доля сельских общеобразовательных организаций, в которых требуется ремонт спортивных залов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Доля детей, охваченных дополнительным образованием, в возрасте от 5 до 18 лет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</w:t>
            </w:r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образовательных </w:t>
            </w: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организаций дополнительного образования, в которых созданы условия, гарантирующие доступность и качество предоставления дополнительного образования, в общей численности образовательных организаций дополнительного образования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детей-инвалидов в возрасте от 5 до 18 лет, получающих дополнительное образование, от общей численности детей-инвалидов данного возраста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15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детей, охваченных различными формами организованного отдыха, оздоровления, в общей численности детей муниципального района в возрасте 7-18 лет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82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82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Отношение принятых </w:t>
            </w: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бюджетных обязательств к утвержденным плановым ассигнованиям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Доля </w:t>
            </w:r>
            <w:r w:rsidRPr="003E4B3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доведена до минимального </w:t>
            </w:r>
            <w:proofErr w:type="gramStart"/>
            <w:r w:rsidRPr="003E4B3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размера оплаты труда</w:t>
            </w:r>
            <w:proofErr w:type="gramEnd"/>
            <w:r w:rsidRPr="003E4B3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 в регионе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97575" w:rsidRPr="003E4B3D" w:rsidTr="00165E96">
        <w:tc>
          <w:tcPr>
            <w:tcW w:w="4253" w:type="dxa"/>
            <w:shd w:val="clear" w:color="auto" w:fill="auto"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Отношение средней заработной платы работников муниципальных учреждений (за исключением органов местного самоуправления), на которых не распространяются Указы Президента Российской Федерации, за 2018 год к фактической средней заработной плате работников муниципальных учреждений за 2017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муниципальной программы,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2"/>
        <w:gridCol w:w="1418"/>
        <w:gridCol w:w="1417"/>
        <w:gridCol w:w="1418"/>
        <w:gridCol w:w="1417"/>
        <w:gridCol w:w="1560"/>
      </w:tblGrid>
      <w:tr w:rsidR="00C97575" w:rsidRPr="003E4B3D" w:rsidTr="00165E96">
        <w:tc>
          <w:tcPr>
            <w:tcW w:w="534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842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 </w:t>
            </w:r>
          </w:p>
        </w:tc>
        <w:tc>
          <w:tcPr>
            <w:tcW w:w="141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(отчет)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    (оценка)</w:t>
            </w:r>
          </w:p>
        </w:tc>
        <w:tc>
          <w:tcPr>
            <w:tcW w:w="141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560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 (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C97575" w:rsidRPr="003E4B3D" w:rsidTr="00165E96">
        <w:tc>
          <w:tcPr>
            <w:tcW w:w="534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Развитие образования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на 2018-2021 годы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2 231 768,6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2 656 629,5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2 798 592,2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2 757 891,0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2 937 055,2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</w:pPr>
      <w:r w:rsidRPr="003E4B3D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 xml:space="preserve">Муниципальная программа «Обеспечение жильем молодых семей </w:t>
      </w:r>
      <w:proofErr w:type="spellStart"/>
      <w:r w:rsidRPr="003E4B3D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>Энгельсского</w:t>
      </w:r>
      <w:proofErr w:type="spellEnd"/>
      <w:r w:rsidRPr="003E4B3D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</w:rPr>
        <w:t xml:space="preserve"> муниципального района» на 2019-2025 годы</w:t>
      </w:r>
    </w:p>
    <w:p w:rsidR="00C97575" w:rsidRPr="003E4B3D" w:rsidRDefault="00C97575" w:rsidP="00C9757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Цель муниципальной программы:</w:t>
      </w:r>
      <w:r w:rsidRPr="003E4B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E4B3D">
        <w:rPr>
          <w:rFonts w:ascii="Times New Roman" w:hAnsi="Times New Roman"/>
          <w:color w:val="000000"/>
          <w:sz w:val="28"/>
          <w:szCs w:val="28"/>
        </w:rPr>
        <w:t xml:space="preserve">Комплексное решение жилищной проблемы молодых семей, признанных в установленном </w:t>
      </w:r>
      <w:proofErr w:type="gramStart"/>
      <w:r w:rsidRPr="003E4B3D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Pr="003E4B3D">
        <w:rPr>
          <w:rFonts w:ascii="Times New Roman" w:hAnsi="Times New Roman"/>
          <w:color w:val="000000"/>
          <w:sz w:val="28"/>
          <w:szCs w:val="28"/>
        </w:rPr>
        <w:t xml:space="preserve"> нуждающимися в жилых помещениях, через обеспечение их жилыми помещениями экономического класса, отвечающими установленным санитарным и техническим требованиям, </w:t>
      </w:r>
      <w:r w:rsidRPr="003E4B3D">
        <w:rPr>
          <w:rFonts w:ascii="Times New Roman" w:hAnsi="Times New Roman"/>
          <w:color w:val="000000"/>
          <w:sz w:val="28"/>
          <w:szCs w:val="28"/>
        </w:rPr>
        <w:lastRenderedPageBreak/>
        <w:t>благоустроенными применительно к условиям населенного пункта, выбранного для постоянного проживания.</w:t>
      </w:r>
    </w:p>
    <w:p w:rsidR="00C97575" w:rsidRPr="003E4B3D" w:rsidRDefault="00C97575" w:rsidP="00C9757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Прогноз конечных результатов муниципальной программы: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3E4B3D">
        <w:rPr>
          <w:rFonts w:ascii="Times New Roman" w:hAnsi="Times New Roman"/>
          <w:color w:val="000000"/>
          <w:sz w:val="28"/>
          <w:szCs w:val="28"/>
        </w:rPr>
        <w:t>За период реализации программы планируется обеспечить жильем 196 молодых семей.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color w:val="000000"/>
          <w:sz w:val="28"/>
          <w:szCs w:val="28"/>
        </w:rPr>
        <w:t>Сведения о целевых показателях (индикаторах) муниципальной программы: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173"/>
        <w:gridCol w:w="1521"/>
        <w:gridCol w:w="1275"/>
        <w:gridCol w:w="1276"/>
        <w:gridCol w:w="1276"/>
        <w:gridCol w:w="1276"/>
      </w:tblGrid>
      <w:tr w:rsidR="00C97575" w:rsidRPr="003E4B3D" w:rsidTr="00165E96">
        <w:tc>
          <w:tcPr>
            <w:tcW w:w="180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173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изм</w:t>
            </w:r>
            <w:proofErr w:type="spellEnd"/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21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2018 год</w:t>
            </w: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(отчет)</w:t>
            </w:r>
          </w:p>
        </w:tc>
        <w:tc>
          <w:tcPr>
            <w:tcW w:w="12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2019 год</w:t>
            </w: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(оценка)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C97575" w:rsidRPr="003E4B3D" w:rsidTr="00165E96">
        <w:tc>
          <w:tcPr>
            <w:tcW w:w="180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семей улучшивших жилищные условия</w:t>
            </w:r>
          </w:p>
        </w:tc>
        <w:tc>
          <w:tcPr>
            <w:tcW w:w="1173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семьи</w:t>
            </w:r>
          </w:p>
        </w:tc>
        <w:tc>
          <w:tcPr>
            <w:tcW w:w="1521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муниципальной программы,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307"/>
        <w:gridCol w:w="1521"/>
        <w:gridCol w:w="1275"/>
        <w:gridCol w:w="1276"/>
        <w:gridCol w:w="1276"/>
        <w:gridCol w:w="1276"/>
      </w:tblGrid>
      <w:tr w:rsidR="00C97575" w:rsidRPr="003E4B3D" w:rsidTr="00165E96">
        <w:tc>
          <w:tcPr>
            <w:tcW w:w="6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0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 </w:t>
            </w:r>
          </w:p>
        </w:tc>
        <w:tc>
          <w:tcPr>
            <w:tcW w:w="1521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(отчет)</w:t>
            </w:r>
          </w:p>
        </w:tc>
        <w:tc>
          <w:tcPr>
            <w:tcW w:w="12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(оценка)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C97575" w:rsidRPr="003E4B3D" w:rsidTr="00165E96">
        <w:tc>
          <w:tcPr>
            <w:tcW w:w="6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07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Обеспечение жильем молодых семей 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на 2019-2025 годы</w:t>
            </w:r>
          </w:p>
        </w:tc>
        <w:tc>
          <w:tcPr>
            <w:tcW w:w="1521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14 762,1</w:t>
            </w:r>
          </w:p>
        </w:tc>
        <w:tc>
          <w:tcPr>
            <w:tcW w:w="1275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17 703,4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185,8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185,8</w:t>
            </w:r>
          </w:p>
        </w:tc>
        <w:tc>
          <w:tcPr>
            <w:tcW w:w="1276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185,8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Муниципальная программа «Энергосбережение и повышение энергетической эффективности </w:t>
      </w:r>
      <w:proofErr w:type="spellStart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>Энгельсского</w:t>
      </w:r>
      <w:proofErr w:type="spellEnd"/>
      <w:r w:rsidRPr="003E4B3D">
        <w:rPr>
          <w:rFonts w:ascii="Times New Roman" w:hAnsi="Times New Roman"/>
          <w:b/>
          <w:i/>
          <w:sz w:val="28"/>
          <w:szCs w:val="28"/>
          <w:u w:val="single"/>
        </w:rPr>
        <w:t xml:space="preserve"> муниципального района на период до 2020 года»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Цели муниципальной программы:</w:t>
      </w:r>
      <w:r w:rsidRPr="003E4B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рационального использования топливно-энергетических ресурсов за счет реализации энергосберегающих мероприятий на основе широкомасштабного внедрения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энергоэффективных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технологий, повышения энергетической эффективности экономики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 и снижения энергоемкости муниципального продукта на 40 % по сравнению с 2017 годом. Ускорение перехода коммунального комплекса и объектов бюджетной сферы на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энергоэффективные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технологии, снижение потребления энергоресурсов за счет энергосбережения на 3-5% ежегодно, улучшение социально-бытовых условий жизни населения;</w:t>
      </w:r>
    </w:p>
    <w:p w:rsidR="00C97575" w:rsidRPr="003E4B3D" w:rsidRDefault="00C97575" w:rsidP="00C97575">
      <w:pPr>
        <w:tabs>
          <w:tab w:val="left" w:pos="0"/>
          <w:tab w:val="left" w:pos="851"/>
          <w:tab w:val="left" w:pos="3100"/>
          <w:tab w:val="left" w:pos="6271"/>
          <w:tab w:val="left" w:pos="7305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обеспечение надежного бесперебойного энергоснабжения объектов муниципального района;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- сокращение потребления ТЭР объектами бюджетной сферы и жилищно-коммунального комплекса за счет применения современного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оборудования и технологий;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- привлечения финансовых средств из различных источников в сферу модернизации энергообеспечения района;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- вовлечение различных групп населения в энергосбережение.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E4B3D">
        <w:rPr>
          <w:rFonts w:ascii="Times New Roman" w:hAnsi="Times New Roman"/>
          <w:b/>
          <w:bCs/>
          <w:color w:val="000000"/>
          <w:sz w:val="28"/>
          <w:szCs w:val="28"/>
        </w:rPr>
        <w:t>Прогноз конечных результатов муниципальной программы:</w:t>
      </w:r>
    </w:p>
    <w:p w:rsidR="00C97575" w:rsidRPr="003E4B3D" w:rsidRDefault="00C97575" w:rsidP="00C97575">
      <w:pPr>
        <w:tabs>
          <w:tab w:val="left" w:pos="3100"/>
          <w:tab w:val="left" w:pos="6271"/>
          <w:tab w:val="left" w:pos="730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Снижение энергоемкости МП за счет энергосбережения на 40 % до 2020 года (по отношению к 2017 году), оснащение потребителей системами учета и регулирования энергоресурсов, реконструкция и модернизация оборудования предприятий жилищно-коммунального комплекса и организаций бюджетной сферы. </w:t>
      </w:r>
    </w:p>
    <w:p w:rsidR="00C97575" w:rsidRPr="003E4B3D" w:rsidRDefault="00C97575" w:rsidP="00C9757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Финансирование муниципальной программы, тыс. руб.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952"/>
        <w:gridCol w:w="1590"/>
        <w:gridCol w:w="1560"/>
        <w:gridCol w:w="1134"/>
        <w:gridCol w:w="1478"/>
      </w:tblGrid>
      <w:tr w:rsidR="00C97575" w:rsidRPr="003E4B3D" w:rsidTr="00165E96">
        <w:trPr>
          <w:trHeight w:val="921"/>
        </w:trPr>
        <w:tc>
          <w:tcPr>
            <w:tcW w:w="66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952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 </w:t>
            </w:r>
          </w:p>
        </w:tc>
        <w:tc>
          <w:tcPr>
            <w:tcW w:w="1590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 год (отчет)</w:t>
            </w:r>
          </w:p>
        </w:tc>
        <w:tc>
          <w:tcPr>
            <w:tcW w:w="1560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(оценка)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78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C97575" w:rsidRPr="003E4B3D" w:rsidTr="00165E96">
        <w:trPr>
          <w:trHeight w:val="2703"/>
        </w:trPr>
        <w:tc>
          <w:tcPr>
            <w:tcW w:w="669" w:type="dxa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vAlign w:val="center"/>
          </w:tcPr>
          <w:p w:rsidR="00C97575" w:rsidRPr="003E4B3D" w:rsidRDefault="00C97575" w:rsidP="00165E9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«Энергосбережение и повышение энергетической эффективности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Энгельсского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на период до 2020 года»</w:t>
            </w:r>
          </w:p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vAlign w:val="center"/>
          </w:tcPr>
          <w:p w:rsidR="00C97575" w:rsidRPr="003E4B3D" w:rsidRDefault="00C97575" w:rsidP="00165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12 610,0</w:t>
            </w:r>
          </w:p>
        </w:tc>
      </w:tr>
    </w:tbl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7575" w:rsidRPr="003E4B3D" w:rsidRDefault="00C97575" w:rsidP="00C97575">
      <w:pPr>
        <w:jc w:val="center"/>
        <w:rPr>
          <w:rFonts w:ascii="Times New Roman" w:hAnsi="Times New Roman"/>
          <w:b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 xml:space="preserve">Социально – значимые проекты, реализуемые в </w:t>
      </w:r>
      <w:proofErr w:type="spellStart"/>
      <w:r w:rsidRPr="003E4B3D">
        <w:rPr>
          <w:rFonts w:ascii="Times New Roman" w:hAnsi="Times New Roman"/>
          <w:b/>
          <w:sz w:val="28"/>
          <w:szCs w:val="28"/>
        </w:rPr>
        <w:t>Энгельсском</w:t>
      </w:r>
      <w:proofErr w:type="spellEnd"/>
      <w:r w:rsidRPr="003E4B3D">
        <w:rPr>
          <w:rFonts w:ascii="Times New Roman" w:hAnsi="Times New Roman"/>
          <w:b/>
          <w:sz w:val="28"/>
          <w:szCs w:val="28"/>
        </w:rPr>
        <w:t xml:space="preserve"> муниципальном районе (тыс. руб.)                                                               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417"/>
        <w:gridCol w:w="1701"/>
        <w:gridCol w:w="1418"/>
        <w:gridCol w:w="1134"/>
        <w:gridCol w:w="1701"/>
      </w:tblGrid>
      <w:tr w:rsidR="00C97575" w:rsidRPr="003E4B3D" w:rsidTr="00165E96">
        <w:tc>
          <w:tcPr>
            <w:tcW w:w="2269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</w:t>
            </w:r>
          </w:p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(вид работ)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2018 </w:t>
            </w:r>
          </w:p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2019       год (прогноз)</w:t>
            </w:r>
          </w:p>
        </w:tc>
        <w:tc>
          <w:tcPr>
            <w:tcW w:w="1418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2020</w:t>
            </w:r>
          </w:p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(прогноз)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160 мест, </w:t>
            </w: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расположенного по адресу: г. Энгельс,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Степная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, 137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121 369,7</w:t>
            </w: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</w:t>
            </w: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ьных мест</w:t>
            </w:r>
          </w:p>
        </w:tc>
      </w:tr>
      <w:tr w:rsidR="00C97575" w:rsidRPr="003E4B3D" w:rsidTr="00165E96">
        <w:trPr>
          <w:trHeight w:val="1052"/>
        </w:trPr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Реконструкция здания МБОУ «МЭЛ им. А.Г.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Шнитке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349 449,8</w:t>
            </w: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150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Приобретение (выкуп) нового здания школы на 1100 мест по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Лесозаводская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в г. Энгельсе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560 151,3</w:t>
            </w: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229 617,0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1100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Приобретение (выкуп) нового здания детского сада на 160 мест по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Студенческая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в г. Энгельсе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123 000,1</w:t>
            </w: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дополнительных мест</w:t>
            </w:r>
          </w:p>
        </w:tc>
      </w:tr>
      <w:tr w:rsidR="00C97575" w:rsidRPr="003E4B3D" w:rsidTr="00165E96">
        <w:tc>
          <w:tcPr>
            <w:tcW w:w="2269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Приобретение (выкуп) нового здания детского сада на 40 мест (блока групповых помещений) по ул. Волоха в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. Энгельсе</w:t>
            </w:r>
          </w:p>
        </w:tc>
        <w:tc>
          <w:tcPr>
            <w:tcW w:w="141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22 901,6</w:t>
            </w: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300 мест, расположенного по адресу: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. Энгельс, Восточный переулок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234 120,3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300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Строительство детского сада на 80 мест, расположенного по адресу: 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Энгельсский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район, пос. Прибрежный, ул. Вавилова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66 426,9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80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160 мест, расположенного по адресу: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. Энгельс, пр. Строителей, 47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138 320,6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Строительство детского сада на 40 мест, расположенного по адресу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Энгельсский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район, с. 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Красноармейское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, ул. Ленина, д. 37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58 980,8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bottom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160 мест, расположенного по адресу: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. Энгельс-1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130 749,2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здания блока групповых помещений на 40 мест, расположенного по адресу: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Энгельсский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район, с.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Шумейка</w:t>
            </w:r>
            <w:proofErr w:type="spellEnd"/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43 785,5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Строительство здания блока групповых помещений на 40 мест МБДОУ "Детский сад № 65", расположенного по адресу: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. Энгельс,  5-й Студенческий проезд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33 650,6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160 мест, расположенного по адресу: 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.  Энгельс по ул.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Шурова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гора 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125 670,5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Строительство здания блока групповых помещений на 40 мест МДОУ "Детский сад № 76", расположенного по адресу: г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.Э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нгельс, ул. Тельмана, 153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23 582,7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здания блока групповых помещений на 40 мест МДОУ "Детский сад  № </w:t>
            </w: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78", расположенного по адресу: г. Энгельс, 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Полтавская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, 32а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23 580,9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40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Строительство  детского сада на 160 мест, расположенного по адресу: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. Энгельс, ул. 148 Черниговской дивизии,7 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3 300,0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160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80 мест расположенного по адресу:   г. Энгельс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Шелковичная</w:t>
            </w:r>
            <w:proofErr w:type="gramEnd"/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3 300,0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80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детского сада на 80 мест, расположенного по адресу: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Энгельсский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район,  ул. </w:t>
            </w:r>
            <w:proofErr w:type="spellStart"/>
            <w:r w:rsidRPr="003E4B3D">
              <w:rPr>
                <w:rFonts w:ascii="Times New Roman" w:hAnsi="Times New Roman"/>
                <w:sz w:val="28"/>
                <w:szCs w:val="28"/>
              </w:rPr>
              <w:t>Шурова</w:t>
            </w:r>
            <w:proofErr w:type="spellEnd"/>
            <w:r w:rsidRPr="003E4B3D">
              <w:rPr>
                <w:rFonts w:ascii="Times New Roman" w:hAnsi="Times New Roman"/>
                <w:sz w:val="28"/>
                <w:szCs w:val="28"/>
              </w:rPr>
              <w:t xml:space="preserve"> гора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3 300,0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80 дополнительных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Строительство универсальной спортивной площадки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10 640,0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Повышение уровня обеспеченности спортивными объектами жителей ЭМР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 xml:space="preserve">Строительство школы на 825 </w:t>
            </w: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мест с бассейном, расположенной по адресу: г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.Э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нгельс, р.п.Приволжский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354 300,5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Создание в общеобразо</w:t>
            </w: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>вательных организациях 825 новых мест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Завершение строительства здания бассейна, расположенного в районе МБОУ «СОШ № 32» по адресу: г. Энгельс, ул. 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Минская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, 29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45 000,0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Введение в эксплуатацию бассейна</w:t>
            </w:r>
          </w:p>
        </w:tc>
      </w:tr>
      <w:tr w:rsidR="00C97575" w:rsidRPr="003E4B3D" w:rsidTr="00165E96">
        <w:tc>
          <w:tcPr>
            <w:tcW w:w="2269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Строительство мемориального комплекса летчикам, погибшим в годы Великой Отечественной войны в микрорайоне Энгельс-1 г</w:t>
            </w:r>
            <w:proofErr w:type="gramStart"/>
            <w:r w:rsidRPr="003E4B3D">
              <w:rPr>
                <w:rFonts w:ascii="Times New Roman" w:hAnsi="Times New Roman"/>
                <w:sz w:val="28"/>
                <w:szCs w:val="28"/>
              </w:rPr>
              <w:t>.Э</w:t>
            </w:r>
            <w:proofErr w:type="gramEnd"/>
            <w:r w:rsidRPr="003E4B3D">
              <w:rPr>
                <w:rFonts w:ascii="Times New Roman" w:hAnsi="Times New Roman"/>
                <w:sz w:val="28"/>
                <w:szCs w:val="28"/>
              </w:rPr>
              <w:t>нгельса</w:t>
            </w:r>
          </w:p>
        </w:tc>
        <w:tc>
          <w:tcPr>
            <w:tcW w:w="1417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57 031,5</w:t>
            </w:r>
          </w:p>
        </w:tc>
        <w:tc>
          <w:tcPr>
            <w:tcW w:w="1418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B3D">
              <w:rPr>
                <w:rFonts w:ascii="Times New Roman" w:hAnsi="Times New Roman"/>
                <w:sz w:val="28"/>
                <w:szCs w:val="28"/>
              </w:rPr>
              <w:t>Введение в эксплуатацию мемориального комплекса</w:t>
            </w:r>
          </w:p>
        </w:tc>
      </w:tr>
    </w:tbl>
    <w:p w:rsidR="00C97575" w:rsidRPr="003E4B3D" w:rsidRDefault="00C97575" w:rsidP="00C9757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 МЕЖБЮДЖЕТНЫЕ ОТНОШЕНИЯ</w:t>
      </w:r>
    </w:p>
    <w:p w:rsidR="00C97575" w:rsidRPr="003E4B3D" w:rsidRDefault="00C97575" w:rsidP="00C9757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5.1. Межбюджетные трансферты, планируемые к получению из областного бюджета</w:t>
      </w:r>
    </w:p>
    <w:p w:rsidR="00C97575" w:rsidRPr="003E4B3D" w:rsidRDefault="00C97575" w:rsidP="00C975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>В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составе доходов местного бюджета на 2020 год учтены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межбюджетные трансферты, предоставляемые из областного бюджета 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в сумме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2 778 643,3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sz w:val="28"/>
          <w:szCs w:val="28"/>
        </w:rPr>
        <w:t>Согласно проекта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Закона Саратовской области «Об областном бюджете на 2020 год и на плановый период 2021 и 2022 годов»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Энгельсскому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муниципальному району на 2020 год предусматриваются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межбюджетные трансферты в виде</w:t>
      </w:r>
      <w:r w:rsidRPr="003E4B3D">
        <w:rPr>
          <w:rFonts w:ascii="Times New Roman" w:hAnsi="Times New Roman"/>
          <w:sz w:val="28"/>
          <w:szCs w:val="28"/>
        </w:rPr>
        <w:t xml:space="preserve"> дотаций, субсидий, субвенций и межбюджетных трансфертов.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lastRenderedPageBreak/>
        <w:t>Дотация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r w:rsidRPr="003E4B3D">
        <w:rPr>
          <w:rFonts w:ascii="Times New Roman" w:hAnsi="Times New Roman"/>
          <w:b/>
          <w:sz w:val="28"/>
          <w:szCs w:val="28"/>
        </w:rPr>
        <w:t>на выравнивание бюджетной обеспеченности</w:t>
      </w:r>
      <w:r w:rsidRPr="003E4B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Энгельсскому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муниципальному району (из регионального фонда финансовой поддержки) на 2020 год запланирована в сумме </w:t>
      </w:r>
      <w:r w:rsidRPr="003E4B3D">
        <w:rPr>
          <w:rFonts w:ascii="Times New Roman" w:hAnsi="Times New Roman"/>
          <w:b/>
          <w:sz w:val="28"/>
          <w:szCs w:val="28"/>
        </w:rPr>
        <w:t>203 512,0</w:t>
      </w:r>
      <w:r w:rsidRPr="003E4B3D">
        <w:rPr>
          <w:rFonts w:ascii="Times New Roman" w:hAnsi="Times New Roman"/>
          <w:sz w:val="28"/>
          <w:szCs w:val="28"/>
        </w:rPr>
        <w:t xml:space="preserve"> тыс. рублей. На 2021 год дотация из областного бюджета предусматривается в сумме </w:t>
      </w:r>
      <w:r w:rsidRPr="003E4B3D">
        <w:rPr>
          <w:rFonts w:ascii="Times New Roman" w:hAnsi="Times New Roman"/>
          <w:b/>
          <w:sz w:val="28"/>
          <w:szCs w:val="28"/>
        </w:rPr>
        <w:t>572,8</w:t>
      </w:r>
      <w:r w:rsidRPr="003E4B3D">
        <w:rPr>
          <w:rFonts w:ascii="Times New Roman" w:hAnsi="Times New Roman"/>
          <w:sz w:val="28"/>
          <w:szCs w:val="28"/>
        </w:rPr>
        <w:t xml:space="preserve"> тыс. рублей, на 2022 год дотация  не предусматривается. 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rFonts w:eastAsia="Calibri"/>
          <w:szCs w:val="28"/>
        </w:rPr>
      </w:pPr>
      <w:r w:rsidRPr="003E4B3D">
        <w:rPr>
          <w:rFonts w:eastAsia="Calibri"/>
          <w:b/>
          <w:szCs w:val="28"/>
        </w:rPr>
        <w:t>Субсидии</w:t>
      </w:r>
      <w:r w:rsidRPr="003E4B3D">
        <w:rPr>
          <w:rFonts w:eastAsia="Calibri"/>
          <w:szCs w:val="28"/>
        </w:rPr>
        <w:t xml:space="preserve"> бюджету </w:t>
      </w:r>
      <w:proofErr w:type="spellStart"/>
      <w:r w:rsidRPr="003E4B3D">
        <w:rPr>
          <w:rFonts w:eastAsia="Calibri"/>
          <w:szCs w:val="28"/>
        </w:rPr>
        <w:t>Энгельсского</w:t>
      </w:r>
      <w:proofErr w:type="spellEnd"/>
      <w:r w:rsidRPr="003E4B3D">
        <w:rPr>
          <w:rFonts w:eastAsia="Calibri"/>
          <w:szCs w:val="28"/>
        </w:rPr>
        <w:t xml:space="preserve"> муниципального района из областного бюджета предусмотрены на 2020 год в объеме </w:t>
      </w:r>
      <w:r w:rsidRPr="003E4B3D">
        <w:rPr>
          <w:rFonts w:eastAsia="Calibri"/>
          <w:b/>
          <w:szCs w:val="28"/>
        </w:rPr>
        <w:t>222 530,2</w:t>
      </w:r>
      <w:r w:rsidRPr="003E4B3D">
        <w:rPr>
          <w:rFonts w:eastAsia="Calibri"/>
          <w:szCs w:val="28"/>
        </w:rPr>
        <w:t xml:space="preserve"> тыс. рублей на следующие цели: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rFonts w:eastAsia="Calibri"/>
          <w:szCs w:val="28"/>
        </w:rPr>
      </w:pPr>
      <w:r w:rsidRPr="003E4B3D">
        <w:rPr>
          <w:rFonts w:eastAsia="Calibri"/>
          <w:szCs w:val="28"/>
        </w:rPr>
        <w:t xml:space="preserve">– субсидии на капитальный ремонт, ремонт и содержание автомобильных дорог общего пользования местного значения за счет средств областного дорожного фонда – </w:t>
      </w:r>
      <w:r w:rsidRPr="003E4B3D">
        <w:rPr>
          <w:rFonts w:eastAsia="Calibri"/>
          <w:b/>
          <w:szCs w:val="28"/>
        </w:rPr>
        <w:t>30 345,5</w:t>
      </w:r>
      <w:r w:rsidRPr="003E4B3D">
        <w:rPr>
          <w:rFonts w:eastAsia="Calibri"/>
          <w:szCs w:val="28"/>
        </w:rPr>
        <w:t xml:space="preserve"> тыс. рублей;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rFonts w:eastAsia="Calibri"/>
          <w:szCs w:val="28"/>
        </w:rPr>
      </w:pPr>
      <w:r w:rsidRPr="003E4B3D">
        <w:rPr>
          <w:rFonts w:eastAsia="Calibri"/>
          <w:szCs w:val="28"/>
        </w:rPr>
        <w:t xml:space="preserve">– субсидии на обеспечение повышения оплаты труда некоторых категорий работников муниципальных учреждений – </w:t>
      </w:r>
      <w:r w:rsidRPr="003E4B3D">
        <w:rPr>
          <w:rFonts w:eastAsia="Calibri"/>
          <w:b/>
          <w:szCs w:val="28"/>
        </w:rPr>
        <w:t>65 501,0</w:t>
      </w:r>
      <w:r w:rsidRPr="003E4B3D">
        <w:rPr>
          <w:rFonts w:eastAsia="Calibri"/>
          <w:szCs w:val="28"/>
        </w:rPr>
        <w:t xml:space="preserve"> тыс. рублей (на 2021 и 2022 годы – </w:t>
      </w:r>
      <w:r w:rsidRPr="003E4B3D">
        <w:rPr>
          <w:rFonts w:eastAsia="Calibri"/>
          <w:b/>
          <w:szCs w:val="28"/>
        </w:rPr>
        <w:t>65 501,0</w:t>
      </w:r>
      <w:r w:rsidRPr="003E4B3D">
        <w:rPr>
          <w:rFonts w:eastAsia="Calibri"/>
          <w:szCs w:val="28"/>
        </w:rPr>
        <w:t xml:space="preserve"> тыс. рублей);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rFonts w:eastAsia="Calibri"/>
          <w:szCs w:val="28"/>
        </w:rPr>
      </w:pPr>
      <w:r w:rsidRPr="003E4B3D">
        <w:rPr>
          <w:rFonts w:eastAsia="Calibri"/>
          <w:szCs w:val="28"/>
        </w:rPr>
        <w:t xml:space="preserve">– субсидия на сохранение достигнутых показателей повышения оплаты труда отдельных категорий работников бюджетной сферы – </w:t>
      </w:r>
      <w:r w:rsidRPr="003E4B3D">
        <w:rPr>
          <w:rFonts w:eastAsia="Calibri"/>
          <w:b/>
          <w:szCs w:val="28"/>
        </w:rPr>
        <w:t>116 043,7</w:t>
      </w:r>
      <w:r w:rsidRPr="003E4B3D">
        <w:rPr>
          <w:rFonts w:eastAsia="Calibri"/>
          <w:szCs w:val="28"/>
        </w:rPr>
        <w:t xml:space="preserve"> тыс. рублей (на 2021 год – </w:t>
      </w:r>
      <w:r w:rsidRPr="003E4B3D">
        <w:rPr>
          <w:rFonts w:eastAsia="Calibri"/>
          <w:b/>
          <w:szCs w:val="28"/>
        </w:rPr>
        <w:t>116 831,1</w:t>
      </w:r>
      <w:r w:rsidRPr="003E4B3D">
        <w:rPr>
          <w:rFonts w:eastAsia="Calibri"/>
          <w:szCs w:val="28"/>
        </w:rPr>
        <w:t xml:space="preserve"> тыс. рублей, на 2022 год – </w:t>
      </w:r>
      <w:r w:rsidRPr="003E4B3D">
        <w:rPr>
          <w:rFonts w:eastAsia="Calibri"/>
          <w:b/>
          <w:szCs w:val="28"/>
        </w:rPr>
        <w:t>145 161,3</w:t>
      </w:r>
      <w:r w:rsidRPr="003E4B3D">
        <w:rPr>
          <w:rFonts w:eastAsia="Calibri"/>
          <w:szCs w:val="28"/>
        </w:rPr>
        <w:t xml:space="preserve"> тыс. рублей);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rFonts w:eastAsia="Calibri"/>
          <w:szCs w:val="28"/>
        </w:rPr>
      </w:pPr>
      <w:r w:rsidRPr="003E4B3D">
        <w:rPr>
          <w:rFonts w:eastAsia="Calibri"/>
          <w:szCs w:val="28"/>
        </w:rPr>
        <w:t xml:space="preserve">– субсидии на строительство и реконструкцию малобюджетных физкультурно-спортивных объектов шаговой доступности, плоскостных сооружений – </w:t>
      </w:r>
      <w:r w:rsidRPr="003E4B3D">
        <w:rPr>
          <w:rFonts w:eastAsia="Calibri"/>
          <w:b/>
          <w:szCs w:val="28"/>
        </w:rPr>
        <w:t>10 640,0</w:t>
      </w:r>
      <w:r w:rsidRPr="003E4B3D">
        <w:rPr>
          <w:rFonts w:eastAsia="Calibri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По сравнению с первоначальным планом на 2019 год, в 2020 году уменьшение объема субсидий составляет </w:t>
      </w:r>
      <w:r w:rsidRPr="003E4B3D">
        <w:rPr>
          <w:rFonts w:ascii="Times New Roman" w:hAnsi="Times New Roman"/>
          <w:b/>
          <w:sz w:val="28"/>
          <w:szCs w:val="28"/>
        </w:rPr>
        <w:t>189 373,4</w:t>
      </w:r>
      <w:r w:rsidRPr="003E4B3D">
        <w:rPr>
          <w:rFonts w:ascii="Times New Roman" w:hAnsi="Times New Roman"/>
          <w:sz w:val="28"/>
          <w:szCs w:val="28"/>
        </w:rPr>
        <w:t xml:space="preserve"> тыс. рублей или на </w:t>
      </w:r>
      <w:r w:rsidRPr="003E4B3D">
        <w:rPr>
          <w:rFonts w:ascii="Times New Roman" w:hAnsi="Times New Roman"/>
          <w:b/>
          <w:sz w:val="28"/>
          <w:szCs w:val="28"/>
        </w:rPr>
        <w:t>46,0%</w:t>
      </w:r>
      <w:r w:rsidRPr="003E4B3D">
        <w:rPr>
          <w:rFonts w:ascii="Times New Roman" w:hAnsi="Times New Roman"/>
          <w:sz w:val="28"/>
          <w:szCs w:val="28"/>
        </w:rPr>
        <w:t>, в связи с предоставлением в  2019 году субсидий на создание новых мест в общеобразовательных организациях.</w:t>
      </w:r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На плановый период 2021 и 2022 годов субсидии из областного бюджета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Энгельсскому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району предусмотрены на 2021 год –</w:t>
      </w:r>
      <w:r w:rsidRPr="003E4B3D">
        <w:rPr>
          <w:rFonts w:ascii="Times New Roman" w:hAnsi="Times New Roman"/>
          <w:b/>
          <w:sz w:val="28"/>
          <w:szCs w:val="28"/>
        </w:rPr>
        <w:t>182 332,1</w:t>
      </w:r>
      <w:r w:rsidRPr="003E4B3D">
        <w:rPr>
          <w:rFonts w:ascii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hAnsi="Times New Roman"/>
          <w:b/>
          <w:sz w:val="28"/>
          <w:szCs w:val="28"/>
        </w:rPr>
        <w:t>210 662,3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pStyle w:val="af6"/>
        <w:ind w:right="-2" w:firstLine="720"/>
        <w:contextualSpacing/>
        <w:rPr>
          <w:szCs w:val="28"/>
        </w:rPr>
      </w:pPr>
      <w:r w:rsidRPr="003E4B3D">
        <w:rPr>
          <w:b/>
          <w:szCs w:val="28"/>
        </w:rPr>
        <w:t xml:space="preserve">Субвенции </w:t>
      </w:r>
      <w:r w:rsidRPr="003E4B3D">
        <w:rPr>
          <w:szCs w:val="28"/>
        </w:rPr>
        <w:t xml:space="preserve">на реализацию государственных полномочий запланированы бюджету </w:t>
      </w:r>
      <w:proofErr w:type="spellStart"/>
      <w:r w:rsidRPr="003E4B3D">
        <w:rPr>
          <w:szCs w:val="28"/>
        </w:rPr>
        <w:t>Энгельсского</w:t>
      </w:r>
      <w:proofErr w:type="spellEnd"/>
      <w:r w:rsidRPr="003E4B3D">
        <w:rPr>
          <w:szCs w:val="28"/>
        </w:rPr>
        <w:t xml:space="preserve"> муниципального района на 2020 год в размере</w:t>
      </w:r>
      <w:r w:rsidRPr="003E4B3D">
        <w:rPr>
          <w:b/>
          <w:szCs w:val="28"/>
        </w:rPr>
        <w:t xml:space="preserve"> 2 339 991,1</w:t>
      </w:r>
      <w:r w:rsidRPr="003E4B3D">
        <w:rPr>
          <w:szCs w:val="28"/>
        </w:rPr>
        <w:t xml:space="preserve"> тыс. рублей, увеличение объема субвенций по сравнению с первоначальными показателями 2019 года составит </w:t>
      </w:r>
      <w:r w:rsidRPr="003E4B3D">
        <w:rPr>
          <w:b/>
          <w:szCs w:val="28"/>
        </w:rPr>
        <w:t>382 587,7</w:t>
      </w:r>
      <w:r w:rsidRPr="003E4B3D">
        <w:rPr>
          <w:szCs w:val="28"/>
        </w:rPr>
        <w:t xml:space="preserve"> тыс. рублей или </w:t>
      </w:r>
      <w:r w:rsidRPr="003E4B3D">
        <w:rPr>
          <w:b/>
          <w:szCs w:val="28"/>
        </w:rPr>
        <w:t>19,5%</w:t>
      </w:r>
      <w:r w:rsidRPr="003E4B3D">
        <w:rPr>
          <w:szCs w:val="28"/>
        </w:rPr>
        <w:t xml:space="preserve">, по сравнению с первоначальным планом на 2018 год увеличение составит </w:t>
      </w:r>
      <w:r w:rsidRPr="003E4B3D">
        <w:rPr>
          <w:b/>
          <w:szCs w:val="28"/>
        </w:rPr>
        <w:t>545 900,1</w:t>
      </w:r>
      <w:r w:rsidRPr="003E4B3D">
        <w:rPr>
          <w:szCs w:val="28"/>
        </w:rPr>
        <w:t xml:space="preserve"> тыс. рублей или </w:t>
      </w:r>
      <w:r w:rsidRPr="003E4B3D">
        <w:rPr>
          <w:b/>
          <w:szCs w:val="28"/>
        </w:rPr>
        <w:t>30,4%</w:t>
      </w:r>
      <w:r w:rsidRPr="003E4B3D">
        <w:rPr>
          <w:szCs w:val="28"/>
        </w:rPr>
        <w:t xml:space="preserve">.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На плановый период субвенции районному бюджету предусмотрены в сумме </w:t>
      </w:r>
      <w:r w:rsidRPr="003E4B3D">
        <w:rPr>
          <w:rFonts w:ascii="Times New Roman" w:hAnsi="Times New Roman"/>
          <w:b/>
          <w:sz w:val="28"/>
          <w:szCs w:val="28"/>
        </w:rPr>
        <w:t>2 573 526,9</w:t>
      </w:r>
      <w:r w:rsidRPr="003E4B3D">
        <w:rPr>
          <w:rFonts w:ascii="Times New Roman" w:hAnsi="Times New Roman"/>
          <w:sz w:val="28"/>
          <w:szCs w:val="28"/>
        </w:rPr>
        <w:t xml:space="preserve"> тыс. рублей на 2021 год и </w:t>
      </w:r>
      <w:r w:rsidRPr="003E4B3D">
        <w:rPr>
          <w:rFonts w:ascii="Times New Roman" w:hAnsi="Times New Roman"/>
          <w:b/>
          <w:sz w:val="28"/>
          <w:szCs w:val="28"/>
        </w:rPr>
        <w:t xml:space="preserve">2 733 195,7 </w:t>
      </w:r>
      <w:r w:rsidRPr="003E4B3D">
        <w:rPr>
          <w:rFonts w:ascii="Times New Roman" w:hAnsi="Times New Roman"/>
          <w:sz w:val="28"/>
          <w:szCs w:val="28"/>
        </w:rPr>
        <w:t>тыс. рублей на 2022 год.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Всего для районного бюджета на 2020 год областным законом предусмотрено </w:t>
      </w:r>
      <w:r w:rsidRPr="003E4B3D">
        <w:rPr>
          <w:rFonts w:ascii="Times New Roman" w:hAnsi="Times New Roman"/>
          <w:b/>
          <w:sz w:val="28"/>
          <w:szCs w:val="28"/>
        </w:rPr>
        <w:t>19</w:t>
      </w:r>
      <w:r w:rsidRPr="003E4B3D">
        <w:rPr>
          <w:rFonts w:ascii="Times New Roman" w:hAnsi="Times New Roman"/>
          <w:sz w:val="28"/>
          <w:szCs w:val="28"/>
        </w:rPr>
        <w:t xml:space="preserve"> субвенций:</w:t>
      </w:r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финансовое обеспечение образовательной деятельности муниципальных общеобразовательных учреждений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1 381 678,0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264 127,7 тыс. рублей выше первоначального плана 2019 года и на 323 298,0 тыс. рублей выше первоначального плана на 2018 год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1 611 431,7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1 755 607,2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предоставление питания отдельным категориям обучающихся в муниципальных образовательных организациях, </w:t>
      </w:r>
      <w:r w:rsidRPr="003E4B3D">
        <w:rPr>
          <w:rFonts w:ascii="Times New Roman" w:eastAsia="Times New Roman" w:hAnsi="Times New Roman"/>
          <w:sz w:val="28"/>
          <w:szCs w:val="28"/>
        </w:rPr>
        <w:lastRenderedPageBreak/>
        <w:t xml:space="preserve">реализующих образовательные программы начального общего, основного общего и среднего общего образования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26 754,9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1 307,1 тыс. рублей больше первоначального плана на 2019 год и на 1 946,4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26 754,9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4 891,6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351,4 тыс. рублей выше первоначального плана на 2019 год и на 944,2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4 891,6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   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2 754,6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203,5 тыс. рублей выше первоначального плана 2019 года и</w:t>
      </w:r>
      <w:proofErr w:type="gramEnd"/>
      <w:r w:rsidRPr="003E4B3D">
        <w:rPr>
          <w:rFonts w:ascii="Times New Roman" w:eastAsia="Times New Roman" w:hAnsi="Times New Roman"/>
          <w:sz w:val="28"/>
          <w:szCs w:val="28"/>
        </w:rPr>
        <w:t xml:space="preserve"> на 303,1 тыс. рублей выше первоначального плана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2 786,5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2 881,0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финансовое обеспечение образовательной деятельности муниципальных дошкольных образовательных организаций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700 448,7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88 519,2 тыс. рублей выше первоначального плана на 2019 год и на 173 725,6 тыс. рублей выше первоначального плана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700 184,6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711 686,1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91 389,0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23 919,3 тыс. рублей выше первоначального плана на 2019 год и на 45 782,4 тыс. рублей выше первоначального плана 2018 года (на 2021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91 389,0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организацию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3 008,5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604,7 тыс. рублей выше первоначального плана 2019 года и на 1 149,1 тыс. рублей выше первоначального плана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3 075,3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3 155,2</w:t>
      </w:r>
      <w:proofErr w:type="gramEnd"/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предоставление гражданам субсидий на оплату жилого помещения и коммунальных услуг за счет средств областного бюджета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88 184,8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или на 5 097,8 тыс. рублей ниже первоначального плана 2019 года и на 3 378,4 ниже первоначального плана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91 359,5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94 557,1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lastRenderedPageBreak/>
        <w:t xml:space="preserve">– субвенции по организации предоставления гражданам субсидий на оплату жилого помещения и коммунальных услуг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5 263,4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или на 1 541,8 тыс. рублей выше первоначального плана 2019 года и на 1 663,0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5 263,4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предоставление дотаций поселениям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15 167,7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693,6 тыс. рублей выше первоначального плана на 2019 год и на 1 333,6 тыс. рублей выше первоначального плана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15 940,0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16 557,8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созданию и организации деятельности комиссий по делам несовершеннолетних и защите их прав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2 456,3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913,9 тыс. рублей выше первоначального плана на 2019 год и на 974,5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2 456,3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осуществлению деятельности по опеке и попечительству в отношении несовершеннолетних граждан 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 обеспечение деятельности штатных работников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9 825,0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3 613,8 тыс. рублей выше первоначального плана на 2019 год и на 3 643,0 тыс. рублей</w:t>
      </w:r>
      <w:proofErr w:type="gramEnd"/>
      <w:r w:rsidRPr="003E4B3D">
        <w:rPr>
          <w:rFonts w:ascii="Times New Roman" w:eastAsia="Times New Roman" w:hAnsi="Times New Roman"/>
          <w:sz w:val="28"/>
          <w:szCs w:val="28"/>
        </w:rPr>
        <w:t xml:space="preserve">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9 825,0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осуществлению деятельности по опеке и попечительству в отношении несовершеннолетних граждан в части расходов по сохранению, содержанию и ремонту пустующих жилых помещений, закрепленных за детьми-сиротами и детьми, оставшимися без попечения родителей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53,3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соответствует уровню первоначального плана 2019 года и на 24,6 тыс. рублей выше первоначального плана  2018 года (на 2021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53,8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и на</w:t>
      </w:r>
      <w:proofErr w:type="gramEnd"/>
      <w:r w:rsidRPr="003E4B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2022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55,8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осуществлению деятельности по опеке и попечительству в отношении совершеннолетних граждан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1 754,4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534,8 тыс. рублей выше первоначального плана на 2019 год  и на 578,2 тыс. рублей выше первоначального плана  2018 года (на 2021 и 2022 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1 754,4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расположенным на территориях муниципальных образований области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2 105,4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757,0 тыс. рублей выше первоначального плана на 2019 год и на 808,9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</w:t>
      </w:r>
      <w:proofErr w:type="gramEnd"/>
      <w:r w:rsidRPr="003E4B3D">
        <w:rPr>
          <w:rFonts w:ascii="Times New Roman" w:eastAsia="Times New Roman" w:hAnsi="Times New Roman"/>
          <w:b/>
          <w:sz w:val="28"/>
          <w:szCs w:val="28"/>
        </w:rPr>
        <w:t> </w:t>
      </w:r>
      <w:proofErr w:type="gramStart"/>
      <w:r w:rsidRPr="003E4B3D">
        <w:rPr>
          <w:rFonts w:ascii="Times New Roman" w:eastAsia="Times New Roman" w:hAnsi="Times New Roman"/>
          <w:b/>
          <w:sz w:val="28"/>
          <w:szCs w:val="28"/>
        </w:rPr>
        <w:t>105,4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осуществление полномочий по образованию и обеспечению деятельности административных комиссий, определению </w:t>
      </w:r>
      <w:r w:rsidRPr="003E4B3D">
        <w:rPr>
          <w:rFonts w:ascii="Times New Roman" w:eastAsia="Times New Roman" w:hAnsi="Times New Roman"/>
          <w:sz w:val="28"/>
          <w:szCs w:val="28"/>
        </w:rPr>
        <w:lastRenderedPageBreak/>
        <w:t xml:space="preserve">перечня должностных лиц, уполномоченных составлять протоколы об административных правонарушениях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1 052,7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356,6 тыс. рублей выше первоначального плана на 2019 год и на 382,6 тыс. рублей выше первоначального плана 2018 года 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1 052,7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  <w:proofErr w:type="gramEnd"/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по государственному управлению охраной труда на 2020 год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701,8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238,1 тыс. рублей выше первоначального плана на 2019 год и на 255,5 выше первоначального плана на 2018 год (на 2021 и 2022 годы – 701,8 тыс. рублей);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проведение мероприятий по отлову и содержанию безнадзорных животных 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2 433,0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соответствует первоначальному плану на 2019 год и на 1 986,8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2 433,0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sz w:val="28"/>
          <w:szCs w:val="28"/>
        </w:rPr>
        <w:t xml:space="preserve">– субвенции на организацию проведения мероприятий по отлову и содержанию безнадзорных животных 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68,0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рублей, что на 3,0 тыс. рублей выше первоначального плана 2019 года и на 61,2 тыс. рублей выше первоначального плана 2018 года (на 2021 и 2022 годы –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68,0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рублей). </w:t>
      </w:r>
    </w:p>
    <w:p w:rsidR="00C97575" w:rsidRPr="003E4B3D" w:rsidRDefault="00C97575" w:rsidP="00C97575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3E4B3D">
        <w:rPr>
          <w:rFonts w:ascii="Times New Roman" w:hAnsi="Times New Roman"/>
          <w:sz w:val="28"/>
          <w:szCs w:val="28"/>
        </w:rPr>
        <w:t xml:space="preserve"> бюджету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из областного бюджета на 2020 год предусмотрены в сумме </w:t>
      </w:r>
      <w:r w:rsidRPr="003E4B3D">
        <w:rPr>
          <w:rFonts w:ascii="Times New Roman" w:hAnsi="Times New Roman"/>
          <w:b/>
          <w:sz w:val="28"/>
          <w:szCs w:val="28"/>
        </w:rPr>
        <w:t xml:space="preserve">12 610,0 </w:t>
      </w:r>
      <w:r w:rsidRPr="003E4B3D">
        <w:rPr>
          <w:rFonts w:ascii="Times New Roman" w:hAnsi="Times New Roman"/>
          <w:sz w:val="28"/>
          <w:szCs w:val="28"/>
        </w:rPr>
        <w:t xml:space="preserve">тыс. рублей на следующие цели: 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на осуществление мероприятий в области энергосбережения и повышения энергетической эффективности  в сумме </w:t>
      </w:r>
      <w:r w:rsidRPr="003E4B3D">
        <w:rPr>
          <w:rFonts w:ascii="Times New Roman" w:hAnsi="Times New Roman"/>
          <w:b/>
          <w:sz w:val="28"/>
          <w:szCs w:val="28"/>
        </w:rPr>
        <w:t>12 610,0</w:t>
      </w:r>
      <w:r w:rsidRPr="003E4B3D">
        <w:rPr>
          <w:rFonts w:ascii="Times New Roman" w:hAnsi="Times New Roman"/>
          <w:sz w:val="28"/>
          <w:szCs w:val="28"/>
        </w:rPr>
        <w:t xml:space="preserve"> тыс. рублей (на 2021 год  </w:t>
      </w:r>
      <w:r w:rsidRPr="003E4B3D">
        <w:rPr>
          <w:rFonts w:ascii="Times New Roman" w:hAnsi="Times New Roman"/>
          <w:b/>
          <w:sz w:val="28"/>
          <w:szCs w:val="28"/>
        </w:rPr>
        <w:t>– 8 137,0</w:t>
      </w:r>
      <w:r w:rsidRPr="003E4B3D">
        <w:rPr>
          <w:rFonts w:ascii="Times New Roman" w:hAnsi="Times New Roman"/>
          <w:sz w:val="28"/>
          <w:szCs w:val="28"/>
        </w:rPr>
        <w:t xml:space="preserve"> тыс. рублей и на 2022 год – </w:t>
      </w:r>
      <w:r w:rsidRPr="003E4B3D">
        <w:rPr>
          <w:rFonts w:ascii="Times New Roman" w:hAnsi="Times New Roman"/>
          <w:b/>
          <w:sz w:val="28"/>
          <w:szCs w:val="28"/>
        </w:rPr>
        <w:t>16 816,0</w:t>
      </w:r>
      <w:r w:rsidRPr="003E4B3D">
        <w:rPr>
          <w:rFonts w:ascii="Times New Roman" w:hAnsi="Times New Roman"/>
          <w:sz w:val="28"/>
          <w:szCs w:val="28"/>
        </w:rPr>
        <w:t xml:space="preserve"> тыс. рублей).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По первоначальному плану на 2018 год межбюджетные трансферты из областного бюджета не были предусмотрены. По первоначальному плану на 2019 год межбюджетные трансферты из областного бюджета предусматривались в сумме </w:t>
      </w:r>
      <w:r w:rsidRPr="003E4B3D">
        <w:rPr>
          <w:rFonts w:ascii="Times New Roman" w:hAnsi="Times New Roman"/>
          <w:b/>
          <w:sz w:val="28"/>
          <w:szCs w:val="28"/>
        </w:rPr>
        <w:t>158 859,8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right="-2" w:firstLine="71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right="-2" w:firstLine="71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5.2. Межбюджетные трансферты, планируемые к получению из иных бюджетов</w:t>
      </w:r>
    </w:p>
    <w:p w:rsidR="00C97575" w:rsidRPr="003E4B3D" w:rsidRDefault="00C97575" w:rsidP="00C97575">
      <w:pPr>
        <w:spacing w:after="0" w:line="240" w:lineRule="auto"/>
        <w:ind w:right="-2" w:firstLine="71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ежбюджетные трансферты из иных бюджетов бюджету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</w:rPr>
        <w:t xml:space="preserve"> муниципального района на 2020 год запланированы в сумме </w:t>
      </w:r>
      <w:r w:rsidRPr="003E4B3D">
        <w:rPr>
          <w:rFonts w:ascii="Times New Roman" w:eastAsia="Times New Roman" w:hAnsi="Times New Roman"/>
          <w:b/>
          <w:sz w:val="28"/>
          <w:szCs w:val="28"/>
        </w:rPr>
        <w:t xml:space="preserve">110 010,6 </w:t>
      </w:r>
      <w:r w:rsidRPr="003E4B3D">
        <w:rPr>
          <w:rFonts w:ascii="Times New Roman" w:eastAsia="Times New Roman" w:hAnsi="Times New Roman"/>
          <w:sz w:val="28"/>
          <w:szCs w:val="28"/>
        </w:rPr>
        <w:t>тыс. рублей, в том числе: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bCs/>
          <w:sz w:val="28"/>
          <w:szCs w:val="28"/>
        </w:rPr>
        <w:t xml:space="preserve">– межбюджетные трансферты 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из бюджета МО город Энгельс </w:t>
      </w:r>
      <w:r w:rsidRPr="003E4B3D">
        <w:rPr>
          <w:rFonts w:ascii="Times New Roman" w:hAnsi="Times New Roman"/>
          <w:sz w:val="28"/>
          <w:szCs w:val="28"/>
        </w:rPr>
        <w:t xml:space="preserve">на осуществление переданных полномочий по решению вопросов местного значения, в соответствии с заключенными соглашениями, в сумме </w:t>
      </w:r>
      <w:r w:rsidRPr="003E4B3D">
        <w:rPr>
          <w:rFonts w:ascii="Times New Roman" w:hAnsi="Times New Roman"/>
          <w:b/>
          <w:sz w:val="28"/>
          <w:szCs w:val="28"/>
        </w:rPr>
        <w:t>9 224,6</w:t>
      </w:r>
      <w:r w:rsidRPr="003E4B3D">
        <w:rPr>
          <w:rFonts w:ascii="Times New Roman" w:hAnsi="Times New Roman"/>
          <w:sz w:val="28"/>
          <w:szCs w:val="28"/>
        </w:rPr>
        <w:t xml:space="preserve"> тыс. рублей, что ниже первоначального плана 2019 года на 11 021,7 тыс. рублей и ниже первоначального плана 2018 года на 9 898,2 тыс. рублей, в связи  с переводом финансового обеспечения деятельности аварийно-спасательного формирования - муниципального учреждения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«Энгельс-Спас» за счет средств областного бюджета;</w:t>
      </w:r>
    </w:p>
    <w:p w:rsidR="00C97575" w:rsidRPr="003E4B3D" w:rsidRDefault="00C97575" w:rsidP="00C97575">
      <w:pPr>
        <w:spacing w:after="0" w:line="240" w:lineRule="auto"/>
        <w:ind w:right="-2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4B3D">
        <w:rPr>
          <w:rFonts w:ascii="Times New Roman" w:hAnsi="Times New Roman"/>
          <w:bCs/>
          <w:sz w:val="28"/>
          <w:szCs w:val="28"/>
        </w:rPr>
        <w:t xml:space="preserve">– прочие межбюджетные трансферты общего характера 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из бюджетов муниципальных образований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</w:rPr>
        <w:t xml:space="preserve"> муниципального района в сумме </w:t>
      </w:r>
      <w:r w:rsidRPr="003E4B3D">
        <w:rPr>
          <w:rFonts w:ascii="Times New Roman" w:eastAsia="Times New Roman" w:hAnsi="Times New Roman"/>
          <w:b/>
          <w:sz w:val="28"/>
          <w:szCs w:val="28"/>
        </w:rPr>
        <w:t>100  786,0</w:t>
      </w:r>
      <w:r w:rsidRPr="003E4B3D">
        <w:rPr>
          <w:rFonts w:ascii="Times New Roman" w:eastAsia="Times New Roman" w:hAnsi="Times New Roman"/>
          <w:sz w:val="28"/>
          <w:szCs w:val="28"/>
        </w:rPr>
        <w:t xml:space="preserve"> тыс. рублей (из бюджета МО город Энгельс </w:t>
      </w:r>
      <w:r w:rsidRPr="003E4B3D">
        <w:rPr>
          <w:rFonts w:ascii="Times New Roman" w:hAnsi="Times New Roman"/>
          <w:bCs/>
          <w:sz w:val="28"/>
          <w:szCs w:val="28"/>
        </w:rPr>
        <w:t xml:space="preserve">– 100 000,0 тыс. рублей, из бюджета Терновского МО – 28,8 тыс. рублей, из бюджета </w:t>
      </w:r>
      <w:proofErr w:type="spellStart"/>
      <w:r w:rsidRPr="003E4B3D">
        <w:rPr>
          <w:rFonts w:ascii="Times New Roman" w:hAnsi="Times New Roman"/>
          <w:bCs/>
          <w:sz w:val="28"/>
          <w:szCs w:val="28"/>
        </w:rPr>
        <w:lastRenderedPageBreak/>
        <w:t>Новопушкинского</w:t>
      </w:r>
      <w:proofErr w:type="spellEnd"/>
      <w:r w:rsidRPr="003E4B3D">
        <w:rPr>
          <w:rFonts w:ascii="Times New Roman" w:hAnsi="Times New Roman"/>
          <w:bCs/>
          <w:sz w:val="28"/>
          <w:szCs w:val="28"/>
        </w:rPr>
        <w:t xml:space="preserve"> МО – 546,1 тыс. рублей, из бюджета </w:t>
      </w:r>
      <w:proofErr w:type="spellStart"/>
      <w:r w:rsidRPr="003E4B3D">
        <w:rPr>
          <w:rFonts w:ascii="Times New Roman" w:hAnsi="Times New Roman"/>
          <w:bCs/>
          <w:sz w:val="28"/>
          <w:szCs w:val="28"/>
        </w:rPr>
        <w:t>Безымянского</w:t>
      </w:r>
      <w:proofErr w:type="spellEnd"/>
      <w:r w:rsidRPr="003E4B3D">
        <w:rPr>
          <w:rFonts w:ascii="Times New Roman" w:hAnsi="Times New Roman"/>
          <w:bCs/>
          <w:sz w:val="28"/>
          <w:szCs w:val="28"/>
        </w:rPr>
        <w:t xml:space="preserve"> МО – 27,3 тыс. рублей, из бюджета Красноярского МО – 183,8 тыс. рублей).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 По сравнению с первоначальным планом 2019 года объем межбюджетных трансфертов общего характера из иных бюджетов бюджету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на 2020 год прогнозируется в меньшем объеме на 20 004,4 тыс. рублей, по сравнению с первоначальным планом 2018 года прогноз снизился на 34 782,3 тыс. рублей. </w:t>
      </w:r>
    </w:p>
    <w:p w:rsidR="00C97575" w:rsidRPr="003E4B3D" w:rsidRDefault="00C97575" w:rsidP="00C9757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На плановый период межбюджетные трансферты из иных бюджетов бюджету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предусмотрены в сумме </w:t>
      </w:r>
      <w:r w:rsidRPr="003E4B3D">
        <w:rPr>
          <w:rFonts w:ascii="Times New Roman" w:hAnsi="Times New Roman"/>
          <w:b/>
          <w:sz w:val="28"/>
          <w:szCs w:val="28"/>
        </w:rPr>
        <w:t>10 324,3</w:t>
      </w:r>
      <w:r w:rsidRPr="003E4B3D">
        <w:rPr>
          <w:rFonts w:ascii="Times New Roman" w:hAnsi="Times New Roman"/>
          <w:sz w:val="28"/>
          <w:szCs w:val="28"/>
        </w:rPr>
        <w:t xml:space="preserve"> тыс. рублей на 2021 год и </w:t>
      </w:r>
      <w:r w:rsidRPr="003E4B3D">
        <w:rPr>
          <w:rFonts w:ascii="Times New Roman" w:hAnsi="Times New Roman"/>
          <w:b/>
          <w:sz w:val="28"/>
          <w:szCs w:val="28"/>
        </w:rPr>
        <w:t xml:space="preserve">10 656,7 </w:t>
      </w:r>
      <w:r w:rsidRPr="003E4B3D">
        <w:rPr>
          <w:rFonts w:ascii="Times New Roman" w:hAnsi="Times New Roman"/>
          <w:sz w:val="28"/>
          <w:szCs w:val="28"/>
        </w:rPr>
        <w:t>тыс. рублей на 2022 год.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5.3. Межбюджетные трансферты, направляемые в иные бюджеты</w:t>
      </w:r>
    </w:p>
    <w:p w:rsidR="00C97575" w:rsidRPr="003E4B3D" w:rsidRDefault="00C97575" w:rsidP="00C975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В 2020 году бюджетам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межбюджетные трансферты будут предоставляться в форме: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дотаций на выравнивание уровня бюджетной обеспеченности поселений из районного фонда финансовой поддержки в размере </w:t>
      </w:r>
      <w:r w:rsidRPr="003E4B3D">
        <w:rPr>
          <w:rFonts w:ascii="Times New Roman" w:hAnsi="Times New Roman"/>
          <w:b/>
          <w:sz w:val="28"/>
          <w:szCs w:val="28"/>
        </w:rPr>
        <w:t>6 000,0</w:t>
      </w:r>
      <w:r w:rsidRPr="003E4B3D">
        <w:rPr>
          <w:rFonts w:ascii="Times New Roman" w:hAnsi="Times New Roman"/>
          <w:sz w:val="28"/>
          <w:szCs w:val="28"/>
        </w:rPr>
        <w:t xml:space="preserve"> тыс. рублей;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– дотаций </w:t>
      </w:r>
      <w:proofErr w:type="gramStart"/>
      <w:r w:rsidRPr="003E4B3D">
        <w:rPr>
          <w:rFonts w:ascii="Times New Roman" w:hAnsi="Times New Roman"/>
          <w:sz w:val="28"/>
          <w:szCs w:val="28"/>
        </w:rPr>
        <w:t>на выравнивание уровня бюджетной обеспеченности поселений за счет субвенции из областного бюджета на исполнение переданных государственных полномочий по расчету</w:t>
      </w:r>
      <w:proofErr w:type="gramEnd"/>
      <w:r w:rsidRPr="003E4B3D">
        <w:rPr>
          <w:rFonts w:ascii="Times New Roman" w:hAnsi="Times New Roman"/>
          <w:sz w:val="28"/>
          <w:szCs w:val="28"/>
        </w:rPr>
        <w:t xml:space="preserve"> и предоставлению дотаций поселениям в размере </w:t>
      </w:r>
      <w:r w:rsidRPr="003E4B3D">
        <w:rPr>
          <w:rFonts w:ascii="Times New Roman" w:hAnsi="Times New Roman"/>
          <w:b/>
          <w:sz w:val="28"/>
          <w:szCs w:val="28"/>
        </w:rPr>
        <w:t>15 167,7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>– иных межбюджетных трансфертов</w:t>
      </w:r>
      <w:r w:rsidRPr="003E4B3D">
        <w:t xml:space="preserve"> </w:t>
      </w:r>
      <w:r w:rsidRPr="003E4B3D">
        <w:rPr>
          <w:rFonts w:ascii="Times New Roman" w:hAnsi="Times New Roman"/>
          <w:sz w:val="28"/>
          <w:szCs w:val="28"/>
        </w:rPr>
        <w:t xml:space="preserve">в размере </w:t>
      </w:r>
      <w:r w:rsidRPr="003E4B3D">
        <w:rPr>
          <w:rFonts w:ascii="Times New Roman" w:hAnsi="Times New Roman"/>
          <w:b/>
          <w:sz w:val="28"/>
          <w:szCs w:val="28"/>
        </w:rPr>
        <w:t>35 978,5</w:t>
      </w:r>
      <w:r w:rsidRPr="003E4B3D">
        <w:rPr>
          <w:rFonts w:ascii="Times New Roman" w:hAnsi="Times New Roman"/>
          <w:sz w:val="28"/>
          <w:szCs w:val="28"/>
        </w:rPr>
        <w:t xml:space="preserve"> тыс. рублей.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Прогноз межбюджетных трансфертов бюджетам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на 2021 год составит </w:t>
      </w:r>
      <w:r w:rsidRPr="003E4B3D">
        <w:rPr>
          <w:rFonts w:ascii="Times New Roman" w:hAnsi="Times New Roman"/>
          <w:b/>
          <w:sz w:val="28"/>
          <w:szCs w:val="28"/>
        </w:rPr>
        <w:t xml:space="preserve">64 860,8 </w:t>
      </w:r>
      <w:r w:rsidRPr="003E4B3D">
        <w:rPr>
          <w:rFonts w:ascii="Times New Roman" w:hAnsi="Times New Roman"/>
          <w:sz w:val="28"/>
          <w:szCs w:val="28"/>
        </w:rPr>
        <w:t xml:space="preserve">тыс. рублей, на 2022 год </w:t>
      </w:r>
      <w:r w:rsidRPr="003E4B3D">
        <w:rPr>
          <w:rFonts w:ascii="Times New Roman" w:hAnsi="Times New Roman"/>
          <w:bCs/>
          <w:sz w:val="28"/>
          <w:szCs w:val="28"/>
        </w:rPr>
        <w:t xml:space="preserve">– </w:t>
      </w:r>
      <w:r w:rsidRPr="003E4B3D">
        <w:rPr>
          <w:rFonts w:ascii="Times New Roman" w:hAnsi="Times New Roman"/>
          <w:b/>
          <w:bCs/>
          <w:sz w:val="28"/>
          <w:szCs w:val="28"/>
        </w:rPr>
        <w:t>69 523,9</w:t>
      </w:r>
      <w:r w:rsidRPr="003E4B3D">
        <w:rPr>
          <w:rFonts w:ascii="Times New Roman" w:hAnsi="Times New Roman"/>
          <w:bCs/>
          <w:sz w:val="28"/>
          <w:szCs w:val="28"/>
        </w:rPr>
        <w:t xml:space="preserve"> тыс. рублей.</w:t>
      </w:r>
      <w:r w:rsidRPr="003E4B3D">
        <w:rPr>
          <w:rFonts w:ascii="Times New Roman" w:hAnsi="Times New Roman"/>
          <w:sz w:val="28"/>
          <w:szCs w:val="28"/>
        </w:rPr>
        <w:t xml:space="preserve"> </w:t>
      </w: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97575" w:rsidRPr="003E4B3D" w:rsidRDefault="00C97575" w:rsidP="00C975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4B3D">
        <w:rPr>
          <w:rFonts w:ascii="Times New Roman" w:hAnsi="Times New Roman"/>
          <w:sz w:val="28"/>
          <w:szCs w:val="28"/>
        </w:rPr>
        <w:t xml:space="preserve">Информация о распределении дотаций на выравнивание бюджетной обеспеченности поселений </w:t>
      </w:r>
      <w:proofErr w:type="spellStart"/>
      <w:r w:rsidRPr="003E4B3D">
        <w:rPr>
          <w:rFonts w:ascii="Times New Roman" w:hAnsi="Times New Roman"/>
          <w:sz w:val="28"/>
          <w:szCs w:val="28"/>
        </w:rPr>
        <w:t>Энгельсского</w:t>
      </w:r>
      <w:proofErr w:type="spellEnd"/>
      <w:r w:rsidRPr="003E4B3D">
        <w:rPr>
          <w:rFonts w:ascii="Times New Roman" w:hAnsi="Times New Roman"/>
          <w:sz w:val="28"/>
          <w:szCs w:val="28"/>
        </w:rPr>
        <w:t xml:space="preserve"> муниципального района на 2020 год и плановый период 2021 и 2022 годов представлена в таблице 4. </w:t>
      </w:r>
    </w:p>
    <w:p w:rsidR="00C97575" w:rsidRPr="003E4B3D" w:rsidRDefault="00C97575" w:rsidP="00C97575">
      <w:pPr>
        <w:spacing w:after="0" w:line="240" w:lineRule="auto"/>
        <w:ind w:firstLine="708"/>
        <w:jc w:val="right"/>
        <w:rPr>
          <w:rFonts w:ascii="Times New Roman" w:hAnsi="Times New Roman"/>
        </w:rPr>
      </w:pPr>
    </w:p>
    <w:p w:rsidR="00C97575" w:rsidRPr="003E4B3D" w:rsidRDefault="00C97575" w:rsidP="00C97575">
      <w:pPr>
        <w:spacing w:after="0" w:line="240" w:lineRule="auto"/>
        <w:ind w:firstLine="708"/>
        <w:jc w:val="right"/>
        <w:rPr>
          <w:rFonts w:ascii="Times New Roman" w:hAnsi="Times New Roman"/>
        </w:rPr>
      </w:pPr>
    </w:p>
    <w:p w:rsidR="00C97575" w:rsidRPr="003E4B3D" w:rsidRDefault="00C97575" w:rsidP="00C97575">
      <w:pPr>
        <w:spacing w:after="0" w:line="240" w:lineRule="auto"/>
        <w:ind w:firstLine="708"/>
        <w:jc w:val="right"/>
        <w:rPr>
          <w:rFonts w:ascii="Times New Roman" w:hAnsi="Times New Roman"/>
        </w:rPr>
      </w:pPr>
      <w:r w:rsidRPr="003E4B3D">
        <w:rPr>
          <w:rFonts w:ascii="Times New Roman" w:hAnsi="Times New Roman"/>
        </w:rPr>
        <w:t>Таблица 4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97575" w:rsidRPr="003E4B3D" w:rsidTr="00165E96">
        <w:trPr>
          <w:trHeight w:val="287"/>
        </w:trPr>
        <w:tc>
          <w:tcPr>
            <w:tcW w:w="567" w:type="dxa"/>
            <w:vMerge w:val="restart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Pr="003E4B3D">
              <w:rPr>
                <w:rFonts w:ascii="Times New Roman" w:hAnsi="Times New Roman"/>
                <w:sz w:val="18"/>
                <w:szCs w:val="18"/>
              </w:rPr>
              <w:tab/>
              <w:t xml:space="preserve">              </w:t>
            </w:r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Наименование поселений</w:t>
            </w:r>
          </w:p>
        </w:tc>
        <w:tc>
          <w:tcPr>
            <w:tcW w:w="2551" w:type="dxa"/>
            <w:gridSpan w:val="3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Сумма, (тыс. руб.)</w:t>
            </w:r>
          </w:p>
        </w:tc>
        <w:tc>
          <w:tcPr>
            <w:tcW w:w="5103" w:type="dxa"/>
            <w:gridSpan w:val="6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В том числе за счет:</w:t>
            </w:r>
          </w:p>
        </w:tc>
      </w:tr>
      <w:tr w:rsidR="00C97575" w:rsidRPr="003E4B3D" w:rsidTr="00165E96">
        <w:trPr>
          <w:trHeight w:val="287"/>
        </w:trPr>
        <w:tc>
          <w:tcPr>
            <w:tcW w:w="567" w:type="dxa"/>
            <w:vMerge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851" w:type="dxa"/>
            <w:vMerge w:val="restart"/>
            <w:vAlign w:val="center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850" w:type="dxa"/>
            <w:vMerge w:val="restart"/>
            <w:vAlign w:val="center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2552" w:type="dxa"/>
            <w:gridSpan w:val="3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собственных доходов районного бюджета и источников финансирования дефицита бюджета, (тыс. руб.)</w:t>
            </w:r>
          </w:p>
        </w:tc>
        <w:tc>
          <w:tcPr>
            <w:tcW w:w="2551" w:type="dxa"/>
            <w:gridSpan w:val="3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субвенции из областного бюджета на исполнение переданных государственных полномочий по расчету и предоставлению дотаций поселениям, (тыс. руб.)</w:t>
            </w:r>
          </w:p>
        </w:tc>
      </w:tr>
      <w:tr w:rsidR="00C97575" w:rsidRPr="003E4B3D" w:rsidTr="00165E96">
        <w:trPr>
          <w:trHeight w:val="299"/>
        </w:trPr>
        <w:tc>
          <w:tcPr>
            <w:tcW w:w="567" w:type="dxa"/>
            <w:vMerge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850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85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850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851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850" w:type="dxa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</w:tr>
      <w:tr w:rsidR="00C97575" w:rsidRPr="003E4B3D" w:rsidTr="00165E96">
        <w:trPr>
          <w:cantSplit/>
          <w:trHeight w:val="879"/>
        </w:trPr>
        <w:tc>
          <w:tcPr>
            <w:tcW w:w="567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E4B3D">
              <w:rPr>
                <w:rFonts w:ascii="Times New Roman" w:hAnsi="Times New Roman"/>
                <w:sz w:val="18"/>
                <w:szCs w:val="18"/>
              </w:rPr>
              <w:t>Муниципальное</w:t>
            </w:r>
            <w:proofErr w:type="gramEnd"/>
            <w:r w:rsidRPr="003E4B3D">
              <w:rPr>
                <w:rFonts w:ascii="Times New Roman" w:hAnsi="Times New Roman"/>
                <w:sz w:val="18"/>
                <w:szCs w:val="18"/>
              </w:rPr>
              <w:t xml:space="preserve"> образовании город Энгельс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12 972,7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13 633,3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14 161,7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12 972,7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13 633,3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14 161,7</w:t>
            </w:r>
          </w:p>
        </w:tc>
      </w:tr>
      <w:tr w:rsidR="00C97575" w:rsidRPr="003E4B3D" w:rsidTr="00165E96">
        <w:trPr>
          <w:trHeight w:val="711"/>
        </w:trPr>
        <w:tc>
          <w:tcPr>
            <w:tcW w:w="567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E4B3D">
              <w:rPr>
                <w:rFonts w:ascii="Times New Roman" w:hAnsi="Times New Roman"/>
                <w:sz w:val="18"/>
                <w:szCs w:val="18"/>
              </w:rPr>
              <w:t>Новопушкинское</w:t>
            </w:r>
            <w:proofErr w:type="spellEnd"/>
            <w:r w:rsidRPr="003E4B3D">
              <w:rPr>
                <w:rFonts w:ascii="Times New Roman" w:hAnsi="Times New Roman"/>
                <w:sz w:val="18"/>
                <w:szCs w:val="18"/>
              </w:rPr>
              <w:t xml:space="preserve"> муниципальное образование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2 681,0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2 724,6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2 424,1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1 873,8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1 626,3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1 543,0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807,2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848,3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881,1</w:t>
            </w:r>
          </w:p>
        </w:tc>
      </w:tr>
      <w:tr w:rsidR="00C97575" w:rsidRPr="003E4B3D" w:rsidTr="00165E96">
        <w:trPr>
          <w:trHeight w:val="726"/>
        </w:trPr>
        <w:tc>
          <w:tcPr>
            <w:tcW w:w="567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E4B3D">
              <w:rPr>
                <w:rFonts w:ascii="Times New Roman" w:hAnsi="Times New Roman"/>
                <w:sz w:val="18"/>
                <w:szCs w:val="18"/>
              </w:rPr>
              <w:t>Безымянское</w:t>
            </w:r>
            <w:proofErr w:type="spellEnd"/>
            <w:r w:rsidRPr="003E4B3D">
              <w:rPr>
                <w:rFonts w:ascii="Times New Roman" w:hAnsi="Times New Roman"/>
                <w:sz w:val="18"/>
                <w:szCs w:val="18"/>
              </w:rPr>
              <w:t xml:space="preserve"> муниципальное образование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4 579,7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4 850,3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4 952,1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4 126,2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4 373,7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 xml:space="preserve"> 4 457,0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453,5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476,6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495,1</w:t>
            </w:r>
          </w:p>
        </w:tc>
      </w:tr>
      <w:tr w:rsidR="00C97575" w:rsidRPr="003E4B3D" w:rsidTr="00165E96">
        <w:trPr>
          <w:trHeight w:val="282"/>
        </w:trPr>
        <w:tc>
          <w:tcPr>
            <w:tcW w:w="567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Красноярское муниципальное образование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583,0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612,7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636,4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583,0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612,7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636,4</w:t>
            </w:r>
          </w:p>
        </w:tc>
      </w:tr>
      <w:tr w:rsidR="00C97575" w:rsidRPr="003E4B3D" w:rsidTr="00165E96">
        <w:trPr>
          <w:trHeight w:val="770"/>
        </w:trPr>
        <w:tc>
          <w:tcPr>
            <w:tcW w:w="567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E4B3D">
              <w:rPr>
                <w:rFonts w:ascii="Times New Roman" w:hAnsi="Times New Roman"/>
                <w:sz w:val="18"/>
                <w:szCs w:val="18"/>
              </w:rPr>
              <w:t>Терновское</w:t>
            </w:r>
            <w:proofErr w:type="spellEnd"/>
            <w:r w:rsidRPr="003E4B3D">
              <w:rPr>
                <w:rFonts w:ascii="Times New Roman" w:hAnsi="Times New Roman"/>
                <w:sz w:val="18"/>
                <w:szCs w:val="18"/>
              </w:rPr>
              <w:t xml:space="preserve"> муниципальное образование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351,3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369,1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383,5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351,3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369,1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4B3D">
              <w:rPr>
                <w:rFonts w:ascii="Times New Roman" w:hAnsi="Times New Roman"/>
                <w:sz w:val="18"/>
                <w:szCs w:val="18"/>
              </w:rPr>
              <w:t>383,5</w:t>
            </w:r>
          </w:p>
        </w:tc>
      </w:tr>
      <w:tr w:rsidR="00C97575" w:rsidRPr="003E4B3D" w:rsidTr="00165E96">
        <w:trPr>
          <w:trHeight w:val="284"/>
        </w:trPr>
        <w:tc>
          <w:tcPr>
            <w:tcW w:w="567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21 167,7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21 940,0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22 557,8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6 000,0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6 000,0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6 000,0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15 167,7</w:t>
            </w:r>
          </w:p>
        </w:tc>
        <w:tc>
          <w:tcPr>
            <w:tcW w:w="851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15 940,0</w:t>
            </w:r>
          </w:p>
        </w:tc>
        <w:tc>
          <w:tcPr>
            <w:tcW w:w="850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B3D">
              <w:rPr>
                <w:rFonts w:ascii="Times New Roman" w:hAnsi="Times New Roman"/>
                <w:b/>
                <w:sz w:val="18"/>
                <w:szCs w:val="18"/>
              </w:rPr>
              <w:t>16 557,8</w:t>
            </w:r>
          </w:p>
        </w:tc>
      </w:tr>
    </w:tbl>
    <w:p w:rsidR="00C97575" w:rsidRPr="003E4B3D" w:rsidRDefault="00C97575" w:rsidP="00C97575">
      <w:pPr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</w:rPr>
      </w:pPr>
      <w:r w:rsidRPr="003E4B3D">
        <w:rPr>
          <w:rFonts w:ascii="Times New Roman" w:hAnsi="Times New Roman"/>
          <w:sz w:val="20"/>
          <w:szCs w:val="20"/>
        </w:rPr>
        <w:t xml:space="preserve">  </w:t>
      </w:r>
      <w:r w:rsidRPr="003E4B3D">
        <w:rPr>
          <w:rFonts w:ascii="Times New Roman" w:hAnsi="Times New Roman"/>
          <w:sz w:val="20"/>
          <w:szCs w:val="20"/>
        </w:rPr>
        <w:tab/>
      </w:r>
    </w:p>
    <w:p w:rsidR="00C97575" w:rsidRPr="003E4B3D" w:rsidRDefault="00C97575" w:rsidP="00C975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межбюджетные трансферты из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 2020 году и плановом периоде 2021 и 2022 годов будут передаваться бюджетам сельских поселений в форме межбюджетных трансфертов на осуществление переданных полномочий по решению вопросов местного значения района в части дорожной деятельности в отношении автомобильных дорог местного значения, в соответствии с заключенным соглашением, с распределением согласно таблице 5:</w:t>
      </w:r>
      <w:proofErr w:type="gramEnd"/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r w:rsidRPr="003E4B3D">
        <w:rPr>
          <w:rFonts w:ascii="Times New Roman" w:eastAsia="Times New Roman" w:hAnsi="Times New Roman"/>
          <w:lang w:eastAsia="ru-RU"/>
        </w:rPr>
        <w:t>Таблица 5</w:t>
      </w:r>
    </w:p>
    <w:tbl>
      <w:tblPr>
        <w:tblW w:w="9289" w:type="dxa"/>
        <w:jc w:val="center"/>
        <w:tblInd w:w="-600" w:type="dxa"/>
        <w:tblLayout w:type="fixed"/>
        <w:tblLook w:val="04A0"/>
      </w:tblPr>
      <w:tblGrid>
        <w:gridCol w:w="571"/>
        <w:gridCol w:w="4820"/>
        <w:gridCol w:w="1278"/>
        <w:gridCol w:w="1134"/>
        <w:gridCol w:w="1486"/>
      </w:tblGrid>
      <w:tr w:rsidR="00C97575" w:rsidRPr="003E4B3D" w:rsidTr="00165E96">
        <w:trPr>
          <w:trHeight w:val="330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Наименование поселений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Сумма,                                          (тыс. руб.)</w:t>
            </w:r>
          </w:p>
        </w:tc>
      </w:tr>
      <w:tr w:rsidR="00C97575" w:rsidRPr="003E4B3D" w:rsidTr="00165E96">
        <w:trPr>
          <w:trHeight w:val="424"/>
          <w:jc w:val="center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</w:tr>
      <w:tr w:rsidR="00C97575" w:rsidRPr="003E4B3D" w:rsidTr="00165E96">
        <w:trPr>
          <w:trHeight w:val="51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Новопушкинское</w:t>
            </w:r>
            <w:proofErr w:type="spellEnd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 муниципальное 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4 831,3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6 868,8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6 868,8</w:t>
            </w:r>
          </w:p>
        </w:tc>
      </w:tr>
      <w:tr w:rsidR="00C97575" w:rsidRPr="003E4B3D" w:rsidTr="00165E96">
        <w:trPr>
          <w:trHeight w:val="51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Безымянское</w:t>
            </w:r>
            <w:proofErr w:type="spellEnd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 муниципальное 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3 806,6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5 412,0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5 412,0</w:t>
            </w:r>
          </w:p>
        </w:tc>
      </w:tr>
      <w:tr w:rsidR="00C97575" w:rsidRPr="003E4B3D" w:rsidTr="00165E96">
        <w:trPr>
          <w:trHeight w:val="51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Красноярское муниципальное 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5 301,7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7 537,6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7 537,6</w:t>
            </w:r>
          </w:p>
        </w:tc>
      </w:tr>
      <w:tr w:rsidR="00C97575" w:rsidRPr="003E4B3D" w:rsidTr="00165E96">
        <w:trPr>
          <w:trHeight w:val="51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Терновское</w:t>
            </w:r>
            <w:proofErr w:type="spellEnd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 муниципальное 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2 371,7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3 372,0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B3D">
              <w:rPr>
                <w:rFonts w:ascii="Times New Roman" w:hAnsi="Times New Roman"/>
              </w:rPr>
              <w:t>3 372,0</w:t>
            </w:r>
          </w:p>
        </w:tc>
      </w:tr>
      <w:tr w:rsidR="00C97575" w:rsidRPr="003E4B3D" w:rsidTr="00165E96">
        <w:trPr>
          <w:trHeight w:val="46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E4B3D">
              <w:rPr>
                <w:rFonts w:ascii="Times New Roman" w:hAnsi="Times New Roman"/>
                <w:b/>
                <w:bCs/>
              </w:rPr>
              <w:t>16 311,3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E4B3D">
              <w:rPr>
                <w:rFonts w:ascii="Times New Roman" w:hAnsi="Times New Roman"/>
                <w:b/>
                <w:bCs/>
              </w:rPr>
              <w:t>23 190,4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E4B3D">
              <w:rPr>
                <w:rFonts w:ascii="Times New Roman" w:hAnsi="Times New Roman"/>
                <w:b/>
                <w:bCs/>
              </w:rPr>
              <w:t>23 190,4</w:t>
            </w:r>
          </w:p>
        </w:tc>
      </w:tr>
    </w:tbl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межбюджетные трансферты из бюджета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передаются бюджету муниципального образования город Энгельс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Саратовской области на 2020 год и на плановый период 2021 и  2022 годов на обеспечение расходных обязательств, связанных с сохранение достигнутых показателей повышения оплаты труда отдельных категорий работников бюджетной сферы с распределением согласно таблице 6:     </w:t>
      </w:r>
      <w:proofErr w:type="gramEnd"/>
    </w:p>
    <w:p w:rsidR="00C97575" w:rsidRPr="003E4B3D" w:rsidRDefault="00C97575" w:rsidP="00C9757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3E4B3D">
        <w:rPr>
          <w:rFonts w:ascii="Times New Roman" w:eastAsia="Times New Roman" w:hAnsi="Times New Roman"/>
          <w:lang w:eastAsia="ru-RU"/>
        </w:rPr>
        <w:t>Таблица 6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103"/>
        <w:gridCol w:w="1134"/>
        <w:gridCol w:w="1134"/>
        <w:gridCol w:w="1134"/>
      </w:tblGrid>
      <w:tr w:rsidR="00C97575" w:rsidRPr="003E4B3D" w:rsidTr="00165E96">
        <w:trPr>
          <w:trHeight w:val="620"/>
        </w:trPr>
        <w:tc>
          <w:tcPr>
            <w:tcW w:w="709" w:type="dxa"/>
            <w:vMerge w:val="restart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lang w:eastAsia="ru-RU"/>
              </w:rPr>
              <w:t>/</w:t>
            </w: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spellEnd"/>
          </w:p>
        </w:tc>
        <w:tc>
          <w:tcPr>
            <w:tcW w:w="5103" w:type="dxa"/>
            <w:vMerge w:val="restart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Наименование поселений</w:t>
            </w:r>
          </w:p>
        </w:tc>
        <w:tc>
          <w:tcPr>
            <w:tcW w:w="3402" w:type="dxa"/>
            <w:gridSpan w:val="3"/>
            <w:vAlign w:val="center"/>
          </w:tcPr>
          <w:p w:rsidR="00C97575" w:rsidRPr="003E4B3D" w:rsidRDefault="00C97575" w:rsidP="00165E96">
            <w:pPr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Сумма,                                          (тыс. руб.)</w:t>
            </w:r>
          </w:p>
        </w:tc>
      </w:tr>
      <w:tr w:rsidR="00C97575" w:rsidRPr="003E4B3D" w:rsidTr="00165E96">
        <w:trPr>
          <w:trHeight w:val="532"/>
        </w:trPr>
        <w:tc>
          <w:tcPr>
            <w:tcW w:w="709" w:type="dxa"/>
            <w:vMerge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3" w:type="dxa"/>
            <w:vMerge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2022 год</w:t>
            </w:r>
          </w:p>
        </w:tc>
      </w:tr>
      <w:tr w:rsidR="00C97575" w:rsidRPr="003E4B3D" w:rsidTr="00165E96">
        <w:trPr>
          <w:trHeight w:val="284"/>
        </w:trPr>
        <w:tc>
          <w:tcPr>
            <w:tcW w:w="709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vAlign w:val="center"/>
          </w:tcPr>
          <w:p w:rsidR="00C97575" w:rsidRPr="003E4B3D" w:rsidRDefault="00C97575" w:rsidP="00165E96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трансферты, передаваемые бюджету муниципального образования город Энгельс </w:t>
            </w: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 муниципального района Саратовской области из бюджета </w:t>
            </w:r>
            <w:proofErr w:type="spellStart"/>
            <w:r w:rsidRPr="003E4B3D">
              <w:rPr>
                <w:rFonts w:ascii="Times New Roman" w:eastAsia="Times New Roman" w:hAnsi="Times New Roman"/>
                <w:lang w:eastAsia="ru-RU"/>
              </w:rPr>
              <w:t>Энгельсского</w:t>
            </w:r>
            <w:proofErr w:type="spellEnd"/>
            <w:r w:rsidRPr="003E4B3D">
              <w:rPr>
                <w:rFonts w:ascii="Times New Roman" w:eastAsia="Times New Roman" w:hAnsi="Times New Roman"/>
                <w:lang w:eastAsia="ru-RU"/>
              </w:rPr>
              <w:t xml:space="preserve"> муниципального района, за счет средств субсидии из областного бюджета бюджетам муниципальных районов и городских округов области на сохранение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19 667,2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19 730,4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lang w:eastAsia="ru-RU"/>
              </w:rPr>
              <w:t>23 775,7</w:t>
            </w:r>
          </w:p>
        </w:tc>
      </w:tr>
      <w:tr w:rsidR="00C97575" w:rsidRPr="003E4B3D" w:rsidTr="00165E96">
        <w:trPr>
          <w:trHeight w:val="284"/>
        </w:trPr>
        <w:tc>
          <w:tcPr>
            <w:tcW w:w="709" w:type="dxa"/>
            <w:noWrap/>
            <w:vAlign w:val="center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C97575" w:rsidRPr="003E4B3D" w:rsidRDefault="00C97575" w:rsidP="00165E96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lang w:eastAsia="ru-RU"/>
              </w:rPr>
              <w:t>19 667,2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lang w:eastAsia="ru-RU"/>
              </w:rPr>
              <w:t>19 730,4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lang w:eastAsia="ru-RU"/>
              </w:rPr>
              <w:t>23 775,7</w:t>
            </w:r>
          </w:p>
        </w:tc>
      </w:tr>
    </w:tbl>
    <w:p w:rsidR="00C97575" w:rsidRPr="003E4B3D" w:rsidRDefault="00C97575" w:rsidP="00C9757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5.4. Уровень долговой нагрузки на бюджет</w:t>
      </w:r>
    </w:p>
    <w:p w:rsidR="00C97575" w:rsidRPr="003E4B3D" w:rsidRDefault="00C97575" w:rsidP="00C975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долг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включает в себя бюджетные кредиты, кредиты от коммерческих банков. Структура муниципального долга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представлена в таблице 7. В 2020 году основная доля в структуре муниципального долга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будет приходиться на кредиты, полученные от кредитных организаций. </w:t>
      </w:r>
    </w:p>
    <w:p w:rsidR="00C97575" w:rsidRPr="003E4B3D" w:rsidRDefault="00C97575" w:rsidP="00C9757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Верхний предел  муниципального долга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по состоянию на 1 января 2021 год прогнозируется в сумме 1 522 400,0 тыс. рублей, на 1 января 2022 года в сумме 1 522 400,0 тыс. рублей, на 1 января 2023 года в сумме 1 522 400,0 тыс. рублей. Заимствованные денежные средства будут направлены в 2020 году на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перекредитование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ранее полученных банковских кредитов.</w:t>
      </w:r>
    </w:p>
    <w:p w:rsidR="00C97575" w:rsidRPr="003E4B3D" w:rsidRDefault="00C97575" w:rsidP="00C9757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lang w:eastAsia="ru-RU"/>
        </w:rPr>
        <w:t xml:space="preserve">      Таблица</w:t>
      </w:r>
      <w:proofErr w:type="gramStart"/>
      <w:r w:rsidRPr="003E4B3D">
        <w:rPr>
          <w:rFonts w:ascii="Times New Roman" w:eastAsia="Times New Roman" w:hAnsi="Times New Roman"/>
          <w:lang w:eastAsia="ru-RU"/>
        </w:rPr>
        <w:t>7</w:t>
      </w:r>
      <w:proofErr w:type="gramEnd"/>
    </w:p>
    <w:tbl>
      <w:tblPr>
        <w:tblW w:w="10704" w:type="dxa"/>
        <w:tblInd w:w="-815" w:type="dxa"/>
        <w:tblLayout w:type="fixed"/>
        <w:tblLook w:val="04A0"/>
      </w:tblPr>
      <w:tblGrid>
        <w:gridCol w:w="1490"/>
        <w:gridCol w:w="1151"/>
        <w:gridCol w:w="692"/>
        <w:gridCol w:w="1150"/>
        <w:gridCol w:w="709"/>
        <w:gridCol w:w="1134"/>
        <w:gridCol w:w="693"/>
        <w:gridCol w:w="1134"/>
        <w:gridCol w:w="708"/>
        <w:gridCol w:w="1134"/>
        <w:gridCol w:w="709"/>
      </w:tblGrid>
      <w:tr w:rsidR="00C97575" w:rsidRPr="003E4B3D" w:rsidTr="00165E96">
        <w:trPr>
          <w:trHeight w:val="615"/>
        </w:trPr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Вид долгового обязательства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На 01.01.2019 г.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На 01.01.2020 г.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На 01.01.2021 г.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На 01.01.2022 г.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На 01.01.2023 г.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C97575" w:rsidRPr="003E4B3D" w:rsidTr="00165E96">
        <w:trPr>
          <w:trHeight w:val="31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Сумма, тыс. рублей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Удел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.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ес,  %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Сумма, тыс. 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Удел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.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ес, 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Сумма, тыс. рублей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Удел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.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ес,  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Сумма, тыс. рублей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Удел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.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ес, 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Сумма, тыс. 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Удел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.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в</w:t>
            </w:r>
            <w:proofErr w:type="gramEnd"/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ес,</w:t>
            </w:r>
          </w:p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  <w:t>%</w:t>
            </w:r>
          </w:p>
        </w:tc>
      </w:tr>
      <w:tr w:rsidR="00C97575" w:rsidRPr="003E4B3D" w:rsidTr="00165E96">
        <w:trPr>
          <w:trHeight w:val="64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C97575" w:rsidRPr="003E4B3D" w:rsidTr="00165E96">
        <w:trPr>
          <w:trHeight w:val="942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Бюджетные кредиты из областного бюджета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436 400,0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28,7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536 400,0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536 400,0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536 400,0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536 400,0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35,2</w:t>
            </w:r>
          </w:p>
        </w:tc>
      </w:tr>
      <w:tr w:rsidR="00C97575" w:rsidRPr="003E4B3D" w:rsidTr="00165E96">
        <w:trPr>
          <w:trHeight w:val="574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Банковские кредиты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1 086 000,0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71,3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986 000,0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986 000,0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986 000,0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986 000,0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64,8</w:t>
            </w:r>
          </w:p>
        </w:tc>
      </w:tr>
      <w:tr w:rsidR="00C97575" w:rsidRPr="003E4B3D" w:rsidTr="00165E96">
        <w:trPr>
          <w:trHeight w:val="412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Муниципаль-ные</w:t>
            </w:r>
            <w:proofErr w:type="spellEnd"/>
            <w:proofErr w:type="gramEnd"/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гарантии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C97575" w:rsidRPr="003E4B3D" w:rsidTr="00165E96">
        <w:trPr>
          <w:trHeight w:val="315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1 522 400,0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1 522 400,0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1 522 400,0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1 522 400,0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1 522 400,0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575" w:rsidRPr="003E4B3D" w:rsidRDefault="00C97575" w:rsidP="00165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100,0</w:t>
            </w:r>
          </w:p>
        </w:tc>
      </w:tr>
    </w:tbl>
    <w:p w:rsidR="00C97575" w:rsidRPr="003E4B3D" w:rsidRDefault="00C97575" w:rsidP="00C9757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575" w:rsidRPr="003E4B3D" w:rsidRDefault="00C97575" w:rsidP="00C975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b/>
          <w:sz w:val="28"/>
          <w:szCs w:val="28"/>
          <w:lang w:eastAsia="ru-RU"/>
        </w:rPr>
        <w:t>5.5.   Дополнительная информация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410"/>
        <w:gridCol w:w="1134"/>
        <w:gridCol w:w="1276"/>
        <w:gridCol w:w="1134"/>
        <w:gridCol w:w="1134"/>
        <w:gridCol w:w="1134"/>
        <w:gridCol w:w="1134"/>
      </w:tblGrid>
      <w:tr w:rsidR="00C97575" w:rsidRPr="003E4B3D" w:rsidTr="00165E96">
        <w:trPr>
          <w:trHeight w:val="780"/>
          <w:tblHeader/>
        </w:trPr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3E4B3D">
              <w:rPr>
                <w:rFonts w:ascii="Times New Roman" w:hAnsi="Times New Roman" w:cs="Times New Roman"/>
              </w:rPr>
              <w:t>N</w:t>
            </w:r>
            <w:r w:rsidRPr="003E4B3D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3E4B3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E4B3D">
              <w:rPr>
                <w:rFonts w:ascii="Times New Roman" w:hAnsi="Times New Roman" w:cs="Times New Roman"/>
              </w:rPr>
              <w:t>/</w:t>
            </w:r>
            <w:proofErr w:type="spellStart"/>
            <w:r w:rsidRPr="003E4B3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3E4B3D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3E4B3D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3E4B3D">
              <w:rPr>
                <w:rFonts w:ascii="Times New Roman" w:hAnsi="Times New Roman" w:cs="Times New Roman"/>
              </w:rPr>
              <w:t>изм</w:t>
            </w:r>
            <w:proofErr w:type="spellEnd"/>
            <w:r w:rsidRPr="003E4B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2018 год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</w:t>
            </w: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2020 год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2021 год</w:t>
            </w:r>
          </w:p>
        </w:tc>
        <w:tc>
          <w:tcPr>
            <w:tcW w:w="1134" w:type="dxa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2022 год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sub_12001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bookmarkEnd w:id="1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Объем доходов местного бюджета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тыс.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13,3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sub_12002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bookmarkEnd w:id="2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Объем расходов местного бюджета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13,3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3" w:name="sub_12003"/>
            <w:r w:rsidRPr="003E4B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bookmarkEnd w:id="3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Объем расходов местного бюджета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sub_12004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bookmarkEnd w:id="4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Объем расходов местного бюджета на образование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9,4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9,9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2006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bookmarkEnd w:id="5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Объем расходов местного бюджета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2007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bookmarkEnd w:id="6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Объем расходов местного бюджета на социальную политику в расчете на 1 жителя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7" w:name="sub_12008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  <w:bookmarkEnd w:id="7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Объем расходов местного бюджета на физическую культуру и спорт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0,4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sub_12010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bookmarkEnd w:id="8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Количество субъектов малого и среднего предпринимательства, которым оказана государственная поддержка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sub_12011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  <w:bookmarkEnd w:id="9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Доля протяженности автомобильных дорог общего пользования местного значения,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39,6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34,1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0" w:name="sub_12012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  <w:bookmarkEnd w:id="10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0,092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26"/>
                <w:szCs w:val="26"/>
              </w:rPr>
            </w:pPr>
            <w:r w:rsidRPr="003E4B3D">
              <w:rPr>
                <w:rFonts w:ascii="Times New Roman" w:hAnsi="Times New Roman"/>
                <w:sz w:val="26"/>
                <w:szCs w:val="26"/>
              </w:rPr>
              <w:t>0,092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rPr>
                <w:rFonts w:ascii="Times New Roman" w:hAnsi="Times New Roman"/>
                <w:sz w:val="26"/>
                <w:szCs w:val="26"/>
              </w:rPr>
            </w:pPr>
            <w:r w:rsidRPr="003E4B3D">
              <w:rPr>
                <w:rFonts w:ascii="Times New Roman" w:hAnsi="Times New Roman"/>
                <w:sz w:val="26"/>
                <w:szCs w:val="26"/>
              </w:rPr>
              <w:t>0,092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1" w:name="sub_12014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bookmarkEnd w:id="11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sub_12017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bookmarkEnd w:id="12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Среднемесячная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номинальная начисленная заработная плата работников муниципальных дошкольных образовательных учреждений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22 268,4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22 864,7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25 800,0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25 800,0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26 201,0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3" w:name="sub_12018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  <w:bookmarkEnd w:id="13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22 398,0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24 558,0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25 747,0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25 799,0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27 346,0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sub_12019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bookmarkEnd w:id="14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Среднемесячная номинальная начисленная заработная плата работников муниципальных общеобразовательных учреждений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26 607,4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25 917,4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28 100,0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28 100,0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30 050,0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5" w:name="sub_12021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bookmarkEnd w:id="15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82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6" w:name="sub_12022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  <w:bookmarkEnd w:id="16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Доля муниципальных дошкольных образовательных учреждений, здания которых находятся в аварийном состоянии или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7" w:name="sub_12023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  <w:bookmarkEnd w:id="17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 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8" w:name="sub_12024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  <w:bookmarkEnd w:id="18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9" w:name="sub_12025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  <w:bookmarkEnd w:id="19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63,5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62,02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62,3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0" w:name="sub_12026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  <w:bookmarkEnd w:id="20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 xml:space="preserve">Доля детей в возрасте 5-18 лет, получающих </w:t>
            </w:r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по дополнительному образованию в организациях различной организационно-правовой формы и формы собственности, в общей численности детей этой возрастной группы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lang w:eastAsia="ru-RU"/>
              </w:rPr>
            </w:pPr>
          </w:p>
          <w:p w:rsidR="00C97575" w:rsidRPr="003E4B3D" w:rsidRDefault="00C97575" w:rsidP="00165E96">
            <w:pPr>
              <w:rPr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43,9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44,5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1" w:name="sub_12027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21.</w:t>
            </w:r>
            <w:bookmarkEnd w:id="21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учреждении культуры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2" w:name="sub_12029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  <w:bookmarkEnd w:id="22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41,3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43,3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45,3</w:t>
            </w:r>
          </w:p>
        </w:tc>
      </w:tr>
      <w:tr w:rsidR="00C97575" w:rsidRPr="003E4B3D" w:rsidTr="00165E96">
        <w:tc>
          <w:tcPr>
            <w:tcW w:w="568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3" w:name="sub_12030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  <w:bookmarkEnd w:id="23"/>
          </w:p>
        </w:tc>
        <w:tc>
          <w:tcPr>
            <w:tcW w:w="2410" w:type="dxa"/>
            <w:shd w:val="clear" w:color="auto" w:fill="auto"/>
          </w:tcPr>
          <w:p w:rsidR="00C97575" w:rsidRPr="003E4B3D" w:rsidRDefault="00C97575" w:rsidP="00165E96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575" w:rsidRPr="003E4B3D" w:rsidRDefault="00C97575" w:rsidP="00165E96">
            <w:pPr>
              <w:pStyle w:val="af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4B3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  <w:p w:rsidR="00C97575" w:rsidRPr="003E4B3D" w:rsidRDefault="00C97575" w:rsidP="00165E9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1134" w:type="dxa"/>
            <w:vAlign w:val="center"/>
          </w:tcPr>
          <w:p w:rsidR="00C97575" w:rsidRPr="003E4B3D" w:rsidRDefault="00C97575" w:rsidP="00165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E4B3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</w:tr>
    </w:tbl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Разработчиком информационно-аналитического материала «Открытый бюджет для граждан – бюджет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района Саратовской области на 2020 год и плановый период 2021 и 2022 годов» является Комитет финансов администрации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района.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ab/>
        <w:t>Контактная информация для граждан: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413100, Саратовская область, </w:t>
      </w:r>
      <w:proofErr w:type="gram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. Энгельс, ул. Коммунистическая, д. 55.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Факс (845-3) 56-88-60, </w:t>
      </w:r>
      <w:r w:rsidRPr="003E4B3D">
        <w:rPr>
          <w:rFonts w:ascii="Times New Roman" w:hAnsi="Times New Roman"/>
          <w:sz w:val="28"/>
          <w:szCs w:val="28"/>
          <w:lang w:val="en-US"/>
        </w:rPr>
        <w:t>E</w:t>
      </w:r>
      <w:r w:rsidRPr="003E4B3D">
        <w:rPr>
          <w:rFonts w:ascii="Times New Roman" w:hAnsi="Times New Roman"/>
          <w:sz w:val="28"/>
          <w:szCs w:val="28"/>
        </w:rPr>
        <w:t>-</w:t>
      </w:r>
      <w:r w:rsidRPr="003E4B3D">
        <w:rPr>
          <w:rFonts w:ascii="Times New Roman" w:hAnsi="Times New Roman"/>
          <w:sz w:val="28"/>
          <w:szCs w:val="28"/>
          <w:lang w:val="en-US"/>
        </w:rPr>
        <w:t>mail</w:t>
      </w:r>
      <w:r w:rsidRPr="003E4B3D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Pr="003E4B3D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komfin</w:t>
        </w:r>
        <w:r w:rsidRPr="003E4B3D">
          <w:rPr>
            <w:rStyle w:val="ae"/>
            <w:rFonts w:ascii="Times New Roman" w:hAnsi="Times New Roman"/>
            <w:color w:val="auto"/>
            <w:sz w:val="28"/>
            <w:szCs w:val="28"/>
          </w:rPr>
          <w:t>-</w:t>
        </w:r>
        <w:r w:rsidRPr="003E4B3D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engels</w:t>
        </w:r>
        <w:r w:rsidRPr="003E4B3D">
          <w:rPr>
            <w:rStyle w:val="ae"/>
            <w:rFonts w:ascii="Times New Roman" w:hAnsi="Times New Roman"/>
            <w:color w:val="auto"/>
            <w:sz w:val="28"/>
            <w:szCs w:val="28"/>
          </w:rPr>
          <w:t>@</w:t>
        </w:r>
        <w:r w:rsidRPr="003E4B3D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Pr="003E4B3D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3E4B3D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E4B3D">
        <w:rPr>
          <w:rFonts w:ascii="Times New Roman" w:hAnsi="Times New Roman"/>
          <w:sz w:val="28"/>
          <w:szCs w:val="28"/>
        </w:rPr>
        <w:t>.</w:t>
      </w:r>
    </w:p>
    <w:p w:rsidR="00C97575" w:rsidRPr="003E4B3D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 с 8-30 до 17-30. </w:t>
      </w:r>
    </w:p>
    <w:p w:rsidR="00C97575" w:rsidRPr="00165F92" w:rsidRDefault="00C97575" w:rsidP="00C975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Тел. 56-86-22. Председатель Комитета финансов  администрации                          </w:t>
      </w:r>
      <w:proofErr w:type="spellStart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>Энгельсского</w:t>
      </w:r>
      <w:proofErr w:type="spellEnd"/>
      <w:r w:rsidRPr="003E4B3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– Лаврушин Дмитрий Борисович.</w:t>
      </w:r>
    </w:p>
    <w:p w:rsidR="00736D1E" w:rsidRDefault="00736D1E"/>
    <w:sectPr w:rsidR="00736D1E" w:rsidSect="004913DC">
      <w:footerReference w:type="default" r:id="rId13"/>
      <w:footerReference w:type="first" r:id="rId14"/>
      <w:pgSz w:w="11906" w:h="16838"/>
      <w:pgMar w:top="426" w:right="1133" w:bottom="709" w:left="1701" w:header="284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08" w:rsidRDefault="0070177C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C97575">
      <w:rPr>
        <w:noProof/>
      </w:rPr>
      <w:t>19</w:t>
    </w:r>
    <w:r>
      <w:fldChar w:fldCharType="end"/>
    </w:r>
  </w:p>
  <w:p w:rsidR="00531408" w:rsidRDefault="0070177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08" w:rsidRDefault="0070177C">
    <w:pPr>
      <w:pStyle w:val="af1"/>
      <w:jc w:val="center"/>
    </w:pPr>
  </w:p>
  <w:p w:rsidR="00531408" w:rsidRDefault="0070177C">
    <w:pPr>
      <w:pStyle w:val="af1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061E"/>
    <w:multiLevelType w:val="hybridMultilevel"/>
    <w:tmpl w:val="6CA46D9E"/>
    <w:lvl w:ilvl="0" w:tplc="33BE5AC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E35C40"/>
    <w:multiLevelType w:val="hybridMultilevel"/>
    <w:tmpl w:val="D6F4D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C76C4A"/>
    <w:multiLevelType w:val="hybridMultilevel"/>
    <w:tmpl w:val="53963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04F55"/>
    <w:multiLevelType w:val="multilevel"/>
    <w:tmpl w:val="EA5429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1416420"/>
    <w:multiLevelType w:val="hybridMultilevel"/>
    <w:tmpl w:val="FFE4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935D4B"/>
    <w:multiLevelType w:val="hybridMultilevel"/>
    <w:tmpl w:val="963E760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>
    <w:nsid w:val="2A221892"/>
    <w:multiLevelType w:val="hybridMultilevel"/>
    <w:tmpl w:val="46965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DC4CE9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8">
    <w:nsid w:val="392F7E71"/>
    <w:multiLevelType w:val="hybridMultilevel"/>
    <w:tmpl w:val="0EF41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7A4293"/>
    <w:multiLevelType w:val="hybridMultilevel"/>
    <w:tmpl w:val="49549984"/>
    <w:lvl w:ilvl="0" w:tplc="D45666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C928CC"/>
    <w:multiLevelType w:val="hybridMultilevel"/>
    <w:tmpl w:val="A1385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065CA4"/>
    <w:multiLevelType w:val="singleLevel"/>
    <w:tmpl w:val="7960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6429562A"/>
    <w:multiLevelType w:val="hybridMultilevel"/>
    <w:tmpl w:val="65747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C05537"/>
    <w:multiLevelType w:val="multilevel"/>
    <w:tmpl w:val="EE0CF2C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Calibri" w:hint="default"/>
        <w:b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14">
    <w:nsid w:val="7451280D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15">
    <w:nsid w:val="7BD85BFC"/>
    <w:multiLevelType w:val="hybridMultilevel"/>
    <w:tmpl w:val="5A4811E2"/>
    <w:lvl w:ilvl="0" w:tplc="041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6">
    <w:nsid w:val="7D602E33"/>
    <w:multiLevelType w:val="hybridMultilevel"/>
    <w:tmpl w:val="957E8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DE2E86"/>
    <w:multiLevelType w:val="hybridMultilevel"/>
    <w:tmpl w:val="181C5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4"/>
  </w:num>
  <w:num w:numId="7">
    <w:abstractNumId w:val="7"/>
  </w:num>
  <w:num w:numId="8">
    <w:abstractNumId w:val="0"/>
  </w:num>
  <w:num w:numId="9">
    <w:abstractNumId w:val="17"/>
  </w:num>
  <w:num w:numId="10">
    <w:abstractNumId w:val="2"/>
  </w:num>
  <w:num w:numId="11">
    <w:abstractNumId w:val="5"/>
  </w:num>
  <w:num w:numId="12">
    <w:abstractNumId w:val="12"/>
  </w:num>
  <w:num w:numId="13">
    <w:abstractNumId w:val="4"/>
  </w:num>
  <w:num w:numId="14">
    <w:abstractNumId w:val="8"/>
  </w:num>
  <w:num w:numId="15">
    <w:abstractNumId w:val="16"/>
  </w:num>
  <w:num w:numId="16">
    <w:abstractNumId w:val="1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7575"/>
    <w:rsid w:val="0070177C"/>
    <w:rsid w:val="00736D1E"/>
    <w:rsid w:val="00C9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975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97575"/>
    <w:rPr>
      <w:rFonts w:ascii="Arial" w:eastAsia="Calibri" w:hAnsi="Arial" w:cs="Times New Roman"/>
      <w:b/>
      <w:bCs/>
      <w:color w:val="26282F"/>
      <w:sz w:val="24"/>
      <w:szCs w:val="24"/>
      <w:lang/>
    </w:rPr>
  </w:style>
  <w:style w:type="paragraph" w:styleId="a3">
    <w:name w:val="List Paragraph"/>
    <w:basedOn w:val="a"/>
    <w:uiPriority w:val="34"/>
    <w:qFormat/>
    <w:rsid w:val="00C97575"/>
    <w:pPr>
      <w:ind w:left="720"/>
      <w:contextualSpacing/>
    </w:pPr>
  </w:style>
  <w:style w:type="character" w:styleId="a4">
    <w:name w:val="Strong"/>
    <w:uiPriority w:val="22"/>
    <w:qFormat/>
    <w:rsid w:val="00C975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9757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basedOn w:val="a0"/>
    <w:link w:val="a5"/>
    <w:uiPriority w:val="99"/>
    <w:semiHidden/>
    <w:rsid w:val="00C97575"/>
    <w:rPr>
      <w:rFonts w:ascii="Tahoma" w:eastAsia="Calibri" w:hAnsi="Tahoma" w:cs="Times New Roman"/>
      <w:sz w:val="16"/>
      <w:szCs w:val="16"/>
      <w:lang/>
    </w:rPr>
  </w:style>
  <w:style w:type="paragraph" w:styleId="a7">
    <w:name w:val="No Spacing"/>
    <w:link w:val="a8"/>
    <w:uiPriority w:val="1"/>
    <w:qFormat/>
    <w:rsid w:val="00C9757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C97575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C97575"/>
    <w:rPr>
      <w:rFonts w:ascii="Calibri" w:eastAsia="Calibri" w:hAnsi="Calibri" w:cs="Times New Roman"/>
    </w:rPr>
  </w:style>
  <w:style w:type="paragraph" w:styleId="aa">
    <w:name w:val="Title"/>
    <w:basedOn w:val="a"/>
    <w:next w:val="a"/>
    <w:link w:val="ab"/>
    <w:uiPriority w:val="10"/>
    <w:qFormat/>
    <w:rsid w:val="00C9757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/>
    </w:rPr>
  </w:style>
  <w:style w:type="character" w:customStyle="1" w:styleId="ab">
    <w:name w:val="Название Знак"/>
    <w:basedOn w:val="a0"/>
    <w:link w:val="aa"/>
    <w:uiPriority w:val="10"/>
    <w:rsid w:val="00C97575"/>
    <w:rPr>
      <w:rFonts w:ascii="Cambria" w:eastAsia="Times New Roman" w:hAnsi="Cambria" w:cs="Times New Roman"/>
      <w:color w:val="17365D"/>
      <w:spacing w:val="5"/>
      <w:kern w:val="28"/>
      <w:sz w:val="52"/>
      <w:szCs w:val="52"/>
      <w:lang/>
    </w:rPr>
  </w:style>
  <w:style w:type="paragraph" w:styleId="ac">
    <w:name w:val="Subtitle"/>
    <w:basedOn w:val="a"/>
    <w:next w:val="a"/>
    <w:link w:val="ad"/>
    <w:uiPriority w:val="11"/>
    <w:qFormat/>
    <w:rsid w:val="00C9757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/>
    </w:rPr>
  </w:style>
  <w:style w:type="character" w:customStyle="1" w:styleId="ad">
    <w:name w:val="Подзаголовок Знак"/>
    <w:basedOn w:val="a0"/>
    <w:link w:val="ac"/>
    <w:uiPriority w:val="11"/>
    <w:rsid w:val="00C97575"/>
    <w:rPr>
      <w:rFonts w:ascii="Cambria" w:eastAsia="Times New Roman" w:hAnsi="Cambria" w:cs="Times New Roman"/>
      <w:i/>
      <w:iCs/>
      <w:color w:val="4F81BD"/>
      <w:spacing w:val="15"/>
      <w:sz w:val="24"/>
      <w:szCs w:val="24"/>
      <w:lang/>
    </w:rPr>
  </w:style>
  <w:style w:type="character" w:styleId="ae">
    <w:name w:val="Hyperlink"/>
    <w:uiPriority w:val="99"/>
    <w:unhideWhenUsed/>
    <w:rsid w:val="00C97575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9757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basedOn w:val="a0"/>
    <w:link w:val="af"/>
    <w:uiPriority w:val="99"/>
    <w:rsid w:val="00C97575"/>
    <w:rPr>
      <w:rFonts w:ascii="Calibri" w:eastAsia="Calibri" w:hAnsi="Calibri" w:cs="Times New Roman"/>
      <w:lang/>
    </w:rPr>
  </w:style>
  <w:style w:type="paragraph" w:styleId="af1">
    <w:name w:val="footer"/>
    <w:basedOn w:val="a"/>
    <w:link w:val="af2"/>
    <w:uiPriority w:val="99"/>
    <w:unhideWhenUsed/>
    <w:rsid w:val="00C97575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Нижний колонтитул Знак"/>
    <w:basedOn w:val="a0"/>
    <w:link w:val="af1"/>
    <w:uiPriority w:val="99"/>
    <w:rsid w:val="00C97575"/>
    <w:rPr>
      <w:rFonts w:ascii="Calibri" w:eastAsia="Calibri" w:hAnsi="Calibri" w:cs="Times New Roman"/>
      <w:lang/>
    </w:rPr>
  </w:style>
  <w:style w:type="table" w:styleId="af3">
    <w:name w:val="Table Grid"/>
    <w:basedOn w:val="a1"/>
    <w:uiPriority w:val="59"/>
    <w:rsid w:val="00C975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рмальный (таблица)"/>
    <w:basedOn w:val="a"/>
    <w:next w:val="a"/>
    <w:uiPriority w:val="99"/>
    <w:rsid w:val="00C975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C975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Body Text"/>
    <w:basedOn w:val="a"/>
    <w:link w:val="af7"/>
    <w:rsid w:val="00C9757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/>
    </w:rPr>
  </w:style>
  <w:style w:type="character" w:customStyle="1" w:styleId="af7">
    <w:name w:val="Основной текст Знак"/>
    <w:basedOn w:val="a0"/>
    <w:link w:val="af6"/>
    <w:rsid w:val="00C97575"/>
    <w:rPr>
      <w:rFonts w:ascii="Times New Roman" w:eastAsia="Times New Roman" w:hAnsi="Times New Roman" w:cs="Times New Roman"/>
      <w:sz w:val="28"/>
      <w:szCs w:val="24"/>
      <w:lang/>
    </w:rPr>
  </w:style>
  <w:style w:type="paragraph" w:customStyle="1" w:styleId="af8">
    <w:name w:val="Текст документа"/>
    <w:basedOn w:val="a"/>
    <w:rsid w:val="00C9757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C9757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semiHidden/>
    <w:rsid w:val="00C97575"/>
    <w:rPr>
      <w:rFonts w:ascii="Times New Roman" w:eastAsia="Times New Roman" w:hAnsi="Times New Roman" w:cs="Times New Roman"/>
      <w:sz w:val="16"/>
      <w:szCs w:val="16"/>
      <w:lang/>
    </w:rPr>
  </w:style>
  <w:style w:type="paragraph" w:customStyle="1" w:styleId="ConsPlusNormal">
    <w:name w:val="ConsPlusNormal"/>
    <w:rsid w:val="00C975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Основной текст_"/>
    <w:link w:val="11"/>
    <w:locked/>
    <w:rsid w:val="00C97575"/>
    <w:rPr>
      <w:sz w:val="27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97575"/>
    <w:pPr>
      <w:shd w:val="clear" w:color="auto" w:fill="FFFFFF"/>
      <w:spacing w:after="240" w:line="240" w:lineRule="atLeast"/>
    </w:pPr>
    <w:rPr>
      <w:rFonts w:asciiTheme="minorHAnsi" w:eastAsiaTheme="minorHAnsi" w:hAnsiTheme="minorHAnsi" w:cstheme="minorBidi"/>
      <w:sz w:val="27"/>
    </w:rPr>
  </w:style>
  <w:style w:type="paragraph" w:customStyle="1" w:styleId="afa">
    <w:name w:val="Содержимое таблицы"/>
    <w:basedOn w:val="a"/>
    <w:rsid w:val="00C97575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package" Target="embeddings/_____Microsoft_Office_Excel1.xlsx"/><Relationship Id="rId12" Type="http://schemas.openxmlformats.org/officeDocument/2006/relationships/hyperlink" Target="mailto:komfin-engels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chart" Target="charts/chart4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main\&#1056;&#1072;&#1073;&#1086;&#1090;&#1072;%20&#1082;&#1086;&#1084;&#1080;&#1090;&#1077;&#1090;&#1072;\&#1041;&#1102;&#1076;&#1078;&#1077;&#1090;%202020%20&#1075;&#1086;&#1076;\&#1041;&#1070;&#1044;&#1046;&#1045;&#1058;%20&#1044;&#1051;&#1071;%20&#1043;&#1056;&#1040;&#1046;&#1044;&#1040;&#1053;\&#1041;&#1070;&#1044;&#1046;&#1045;&#1058;%20&#1076;&#1083;&#1103;%20&#1075;&#1088;&#1072;&#1078;&#1076;&#1072;&#1085;%20&#1085;&#1072;%202019-2021&#1075;&#1075;\&#1044;&#1083;&#1103;%20&#1075;&#1088;&#1072;&#1092;&#1080;&#1082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main\&#1056;&#1072;&#1073;&#1086;&#1090;&#1072;%20&#1082;&#1086;&#1084;&#1080;&#1090;&#1077;&#1090;&#1072;\&#1041;&#1102;&#1076;&#1078;&#1077;&#1090;%202020%20&#1075;&#1086;&#1076;\&#1041;&#1070;&#1044;&#1046;&#1045;&#1058;%20&#1044;&#1051;&#1071;%20&#1043;&#1056;&#1040;&#1046;&#1044;&#1040;&#1053;\&#1041;&#1070;&#1044;&#1046;&#1045;&#1058;%20&#1076;&#1083;&#1103;%20&#1075;&#1088;&#1072;&#1078;&#1076;&#1072;&#1085;%20&#1085;&#1072;%202019-2021&#1075;&#1075;\&#1044;&#1083;&#1103;%20&#1075;&#1088;&#1072;&#1092;&#1080;&#1082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9.8114308270833395E-2"/>
          <c:y val="1.4501430141744145E-2"/>
          <c:w val="0.88624612202688768"/>
          <c:h val="0.71355932203390005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99FF"/>
            </a:solidFill>
            <a:ln w="5372">
              <a:solidFill>
                <a:srgbClr val="000000"/>
              </a:solidFill>
              <a:prstDash val="solid"/>
            </a:ln>
          </c:spPr>
          <c:dLbls>
            <c:spPr>
              <a:noFill/>
              <a:ln w="10745">
                <a:noFill/>
              </a:ln>
            </c:spPr>
            <c:txPr>
              <a:bodyPr/>
              <a:lstStyle/>
              <a:p>
                <a:pPr>
                  <a:defRPr sz="34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5"/>
                <c:pt idx="0">
                  <c:v>Налог на доходы физических лиц</c:v>
                </c:pt>
                <c:pt idx="1">
                  <c:v>Единый налог на вмененный доход</c:v>
                </c:pt>
                <c:pt idx="2">
                  <c:v>Государственная пошлина</c:v>
                </c:pt>
                <c:pt idx="3">
                  <c:v>Акцизы на нефтепродукты</c:v>
                </c:pt>
                <c:pt idx="4">
                  <c:v>Прочие налоговые доходы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707973.6</c:v>
                </c:pt>
                <c:pt idx="1">
                  <c:v>125000</c:v>
                </c:pt>
                <c:pt idx="2">
                  <c:v>29275</c:v>
                </c:pt>
                <c:pt idx="3">
                  <c:v>19512.5</c:v>
                </c:pt>
                <c:pt idx="4">
                  <c:v>11531.1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3366"/>
            </a:solidFill>
            <a:ln w="5372">
              <a:solidFill>
                <a:srgbClr val="000000"/>
              </a:solidFill>
              <a:prstDash val="solid"/>
            </a:ln>
          </c:spPr>
          <c:dLbls>
            <c:spPr>
              <a:noFill/>
              <a:ln w="10745">
                <a:noFill/>
              </a:ln>
            </c:spPr>
            <c:txPr>
              <a:bodyPr/>
              <a:lstStyle/>
              <a:p>
                <a:pPr>
                  <a:defRPr sz="34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5"/>
                <c:pt idx="0">
                  <c:v>Налог на доходы физических лиц</c:v>
                </c:pt>
                <c:pt idx="1">
                  <c:v>Единый налог на вмененный доход</c:v>
                </c:pt>
                <c:pt idx="2">
                  <c:v>Государственная пошлина</c:v>
                </c:pt>
                <c:pt idx="3">
                  <c:v>Акцизы на нефтепродукты</c:v>
                </c:pt>
                <c:pt idx="4">
                  <c:v>Прочие налоговые доходы</c:v>
                </c:pt>
              </c:strCache>
            </c:strRef>
          </c:cat>
          <c:val>
            <c:numRef>
              <c:f>Sheet1!$B$3:$F$3</c:f>
              <c:numCache>
                <c:formatCode>#,##0.0</c:formatCode>
                <c:ptCount val="5"/>
                <c:pt idx="0">
                  <c:v>762352.9</c:v>
                </c:pt>
                <c:pt idx="1">
                  <c:v>111670</c:v>
                </c:pt>
                <c:pt idx="2">
                  <c:v>37666.5</c:v>
                </c:pt>
                <c:pt idx="3">
                  <c:v>22097.9</c:v>
                </c:pt>
                <c:pt idx="4">
                  <c:v>12310.2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FFFFCC"/>
            </a:solidFill>
            <a:ln w="5372">
              <a:solidFill>
                <a:srgbClr val="000000"/>
              </a:solidFill>
              <a:prstDash val="solid"/>
            </a:ln>
          </c:spPr>
          <c:dLbls>
            <c:spPr>
              <a:noFill/>
              <a:ln w="10745">
                <a:noFill/>
              </a:ln>
            </c:spPr>
            <c:txPr>
              <a:bodyPr/>
              <a:lstStyle/>
              <a:p>
                <a:pPr>
                  <a:defRPr sz="34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5"/>
                <c:pt idx="0">
                  <c:v>Налог на доходы физических лиц</c:v>
                </c:pt>
                <c:pt idx="1">
                  <c:v>Единый налог на вмененный доход</c:v>
                </c:pt>
                <c:pt idx="2">
                  <c:v>Государственная пошлина</c:v>
                </c:pt>
                <c:pt idx="3">
                  <c:v>Акцизы на нефтепродукты</c:v>
                </c:pt>
                <c:pt idx="4">
                  <c:v>Прочие налоговые доходы</c:v>
                </c:pt>
              </c:strCache>
            </c:strRef>
          </c:cat>
          <c:val>
            <c:numRef>
              <c:f>Sheet1!$B$4:$F$4</c:f>
              <c:numCache>
                <c:formatCode>#,##0.0</c:formatCode>
                <c:ptCount val="5"/>
                <c:pt idx="0">
                  <c:v>809149.6</c:v>
                </c:pt>
                <c:pt idx="1">
                  <c:v>105625</c:v>
                </c:pt>
                <c:pt idx="2">
                  <c:v>48674</c:v>
                </c:pt>
                <c:pt idx="3">
                  <c:v>27983.4</c:v>
                </c:pt>
                <c:pt idx="4">
                  <c:v>14881.5</c:v>
                </c:pt>
              </c:numCache>
            </c:numRef>
          </c:val>
        </c:ser>
        <c:ser>
          <c:idx val="3"/>
          <c:order val="3"/>
          <c:tx>
            <c:v>2021</c:v>
          </c:tx>
          <c:dLbls>
            <c:txPr>
              <a:bodyPr/>
              <a:lstStyle/>
              <a:p>
                <a:pPr>
                  <a:defRPr sz="344"/>
                </a:pPr>
                <a:endParaRPr lang="ru-RU"/>
              </a:p>
            </c:txPr>
            <c:showSerName val="1"/>
          </c:dLbls>
          <c:val>
            <c:numRef>
              <c:f>Sheet1!$B$5:$F$5</c:f>
              <c:numCache>
                <c:formatCode>#,##0.0</c:formatCode>
                <c:ptCount val="5"/>
                <c:pt idx="0">
                  <c:v>880941.2</c:v>
                </c:pt>
                <c:pt idx="1">
                  <c:v>0</c:v>
                </c:pt>
                <c:pt idx="2">
                  <c:v>52320.1</c:v>
                </c:pt>
                <c:pt idx="3">
                  <c:v>39785</c:v>
                </c:pt>
                <c:pt idx="4">
                  <c:v>15501.4</c:v>
                </c:pt>
              </c:numCache>
            </c:numRef>
          </c:val>
        </c:ser>
        <c:ser>
          <c:idx val="4"/>
          <c:order val="4"/>
          <c:tx>
            <c:v>2022</c:v>
          </c:tx>
          <c:dLbls>
            <c:txPr>
              <a:bodyPr/>
              <a:lstStyle/>
              <a:p>
                <a:pPr>
                  <a:defRPr sz="344"/>
                </a:pPr>
                <a:endParaRPr lang="ru-RU"/>
              </a:p>
            </c:txPr>
            <c:showSerName val="1"/>
          </c:dLbls>
          <c:val>
            <c:numRef>
              <c:f>Sheet1!$B$6:$F$6</c:f>
              <c:numCache>
                <c:formatCode>#,##0.0</c:formatCode>
                <c:ptCount val="5"/>
                <c:pt idx="0">
                  <c:v>916235.3</c:v>
                </c:pt>
                <c:pt idx="1">
                  <c:v>0</c:v>
                </c:pt>
                <c:pt idx="2">
                  <c:v>57394</c:v>
                </c:pt>
                <c:pt idx="3">
                  <c:v>39785</c:v>
                </c:pt>
                <c:pt idx="4">
                  <c:v>15790.6</c:v>
                </c:pt>
              </c:numCache>
            </c:numRef>
          </c:val>
        </c:ser>
        <c:gapWidth val="230"/>
        <c:axId val="144902784"/>
        <c:axId val="144908672"/>
      </c:barChart>
      <c:catAx>
        <c:axId val="144902784"/>
        <c:scaling>
          <c:orientation val="minMax"/>
        </c:scaling>
        <c:axPos val="b"/>
        <c:numFmt formatCode="@" sourceLinked="1"/>
        <c:tickLblPos val="nextTo"/>
        <c:spPr>
          <a:ln w="1343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4908672"/>
        <c:crosses val="autoZero"/>
        <c:auto val="1"/>
        <c:lblAlgn val="ctr"/>
        <c:lblOffset val="100"/>
        <c:tickMarkSkip val="1"/>
      </c:catAx>
      <c:valAx>
        <c:axId val="144908672"/>
        <c:scaling>
          <c:orientation val="minMax"/>
        </c:scaling>
        <c:axPos val="l"/>
        <c:numFmt formatCode="#,##0.0" sourceLinked="1"/>
        <c:tickLblPos val="nextTo"/>
        <c:spPr>
          <a:ln w="134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3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90278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1343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53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dTable>
      <c:spPr>
        <a:noFill/>
        <a:ln w="25406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3238662558484537"/>
          <c:y val="5.2718081472692878E-2"/>
          <c:w val="0.8159203980099502"/>
          <c:h val="0.57307692307692248"/>
        </c:manualLayout>
      </c:layout>
      <c:barChart>
        <c:barDir val="col"/>
        <c:grouping val="clustered"/>
        <c:ser>
          <c:idx val="2"/>
          <c:order val="0"/>
          <c:tx>
            <c:strRef>
              <c:f>Sheet1!$A$2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FFFFCC"/>
            </a:solidFill>
            <a:ln w="9001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-4.5590363257098834E-3"/>
                  <c:y val="-2.4994689617286207E-3"/>
                </c:manualLayout>
              </c:layout>
              <c:dLblPos val="outEnd"/>
              <c:showSerName val="1"/>
            </c:dLbl>
            <c:dLbl>
              <c:idx val="1"/>
              <c:layout>
                <c:manualLayout>
                  <c:x val="-8.3775017382970648E-3"/>
                  <c:y val="-1.4394433253982787E-3"/>
                </c:manualLayout>
              </c:layout>
              <c:dLblPos val="outEnd"/>
              <c:showSerName val="1"/>
            </c:dLbl>
            <c:dLbl>
              <c:idx val="2"/>
              <c:layout>
                <c:manualLayout>
                  <c:x val="-1.4928682840659241E-3"/>
                  <c:y val="6.2801684673136999E-3"/>
                </c:manualLayout>
              </c:layout>
              <c:dLblPos val="outEnd"/>
              <c:showSerName val="1"/>
            </c:dLbl>
            <c:dLbl>
              <c:idx val="3"/>
              <c:layout>
                <c:manualLayout>
                  <c:x val="-6.4682564441727198E-3"/>
                  <c:y val="1.0263592050993619E-2"/>
                </c:manualLayout>
              </c:layout>
              <c:dLblPos val="outEnd"/>
              <c:showSerName val="1"/>
            </c:dLbl>
            <c:dLbl>
              <c:idx val="4"/>
              <c:layout>
                <c:manualLayout>
                  <c:x val="-6.351981658617255E-3"/>
                  <c:y val="-8.9929316974913277E-3"/>
                </c:manualLayout>
              </c:layout>
              <c:dLblPos val="outEnd"/>
              <c:showSerName val="1"/>
            </c:dLbl>
            <c:dLbl>
              <c:idx val="5"/>
              <c:layout>
                <c:manualLayout>
                  <c:x val="-4.8098021160242945E-3"/>
                  <c:y val="-9.1883537813587119E-3"/>
                </c:manualLayout>
              </c:layout>
              <c:dLblPos val="outEnd"/>
              <c:showSerName val="1"/>
            </c:dLbl>
            <c:dLbl>
              <c:idx val="6"/>
              <c:dLblPos val="outEnd"/>
              <c:showSerName val="1"/>
            </c:dLbl>
            <c:spPr>
              <a:noFill/>
              <a:ln w="18001">
                <a:noFill/>
              </a:ln>
            </c:spPr>
            <c:txPr>
              <a:bodyPr/>
              <a:lstStyle/>
              <a:p>
                <a:pPr>
                  <a:defRPr sz="565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6"/>
                <c:pt idx="0">
                  <c:v>Аренда земли</c:v>
                </c:pt>
                <c:pt idx="1">
                  <c:v>Аренда имущества</c:v>
                </c:pt>
                <c:pt idx="2">
                  <c:v>Продажа имущества</c:v>
                </c:pt>
                <c:pt idx="3">
                  <c:v>Продажа земли</c:v>
                </c:pt>
                <c:pt idx="4">
                  <c:v>Штрафы</c:v>
                </c:pt>
                <c:pt idx="5">
                  <c:v>Прочие неналоговые поступления</c:v>
                </c:pt>
              </c:strCache>
            </c:strRef>
          </c:cat>
          <c:val>
            <c:numRef>
              <c:f>Sheet1!$B$2:$G$2</c:f>
              <c:numCache>
                <c:formatCode>#,##0.0</c:formatCode>
                <c:ptCount val="6"/>
                <c:pt idx="0">
                  <c:v>52750</c:v>
                </c:pt>
                <c:pt idx="1">
                  <c:v>7200</c:v>
                </c:pt>
                <c:pt idx="2">
                  <c:v>20100</c:v>
                </c:pt>
                <c:pt idx="3">
                  <c:v>18845.900000000001</c:v>
                </c:pt>
                <c:pt idx="4">
                  <c:v>7837</c:v>
                </c:pt>
                <c:pt idx="5">
                  <c:v>4980.9000000000005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FFFF"/>
            </a:solidFill>
            <a:ln w="9001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58959276868436E-3"/>
                  <c:y val="-3.6424098150521882E-3"/>
                </c:manualLayout>
              </c:layout>
              <c:dLblPos val="outEnd"/>
              <c:showSerName val="1"/>
            </c:dLbl>
            <c:dLbl>
              <c:idx val="1"/>
              <c:layout>
                <c:manualLayout>
                  <c:x val="-3.7240523932121892E-3"/>
                  <c:y val="-1.674418604651169E-3"/>
                </c:manualLayout>
              </c:layout>
              <c:dLblPos val="outEnd"/>
              <c:showSerName val="1"/>
            </c:dLbl>
            <c:dLbl>
              <c:idx val="2"/>
              <c:layout>
                <c:manualLayout>
                  <c:x val="4.7719166369120424E-3"/>
                  <c:y val="-7.8860281999634085E-3"/>
                </c:manualLayout>
              </c:layout>
              <c:dLblPos val="outEnd"/>
              <c:showSerName val="1"/>
            </c:dLbl>
            <c:dLbl>
              <c:idx val="3"/>
              <c:layout>
                <c:manualLayout>
                  <c:x val="4.7807866498787894E-5"/>
                  <c:y val="9.5115180369895747E-3"/>
                </c:manualLayout>
              </c:layout>
              <c:dLblPos val="outEnd"/>
              <c:showSerName val="1"/>
            </c:dLbl>
            <c:dLbl>
              <c:idx val="4"/>
              <c:layout>
                <c:manualLayout>
                  <c:x val="-2.0325860222126238E-4"/>
                  <c:y val="-1.369917597509614E-2"/>
                </c:manualLayout>
              </c:layout>
              <c:dLblPos val="outEnd"/>
              <c:showSerName val="1"/>
            </c:dLbl>
            <c:dLbl>
              <c:idx val="5"/>
              <c:layout>
                <c:manualLayout>
                  <c:x val="7.0238475560483338E-4"/>
                  <c:y val="-6.0900201428310706E-3"/>
                </c:manualLayout>
              </c:layout>
              <c:dLblPos val="outEnd"/>
              <c:showSerName val="1"/>
            </c:dLbl>
            <c:dLbl>
              <c:idx val="6"/>
              <c:spPr>
                <a:noFill/>
                <a:ln w="18001">
                  <a:noFill/>
                </a:ln>
              </c:spPr>
              <c:txPr>
                <a:bodyPr/>
                <a:lstStyle/>
                <a:p>
                  <a:pPr>
                    <a:defRPr sz="56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Arial Cyr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spPr>
              <a:noFill/>
              <a:ln w="18001">
                <a:noFill/>
              </a:ln>
            </c:spPr>
            <c:txPr>
              <a:bodyPr/>
              <a:lstStyle/>
              <a:p>
                <a:pPr>
                  <a:defRPr sz="565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6"/>
                <c:pt idx="0">
                  <c:v>Аренда земли</c:v>
                </c:pt>
                <c:pt idx="1">
                  <c:v>Аренда имущества</c:v>
                </c:pt>
                <c:pt idx="2">
                  <c:v>Продажа имущества</c:v>
                </c:pt>
                <c:pt idx="3">
                  <c:v>Продажа земли</c:v>
                </c:pt>
                <c:pt idx="4">
                  <c:v>Штрафы</c:v>
                </c:pt>
                <c:pt idx="5">
                  <c:v>Прочие неналоговые поступления</c:v>
                </c:pt>
              </c:strCache>
            </c:strRef>
          </c:cat>
          <c:val>
            <c:numRef>
              <c:f>Sheet1!$B$3:$G$3</c:f>
              <c:numCache>
                <c:formatCode>#,##0.0</c:formatCode>
                <c:ptCount val="6"/>
                <c:pt idx="0">
                  <c:v>66963</c:v>
                </c:pt>
                <c:pt idx="1">
                  <c:v>2328</c:v>
                </c:pt>
                <c:pt idx="2">
                  <c:v>16752.099999999991</c:v>
                </c:pt>
                <c:pt idx="3">
                  <c:v>6775</c:v>
                </c:pt>
                <c:pt idx="4">
                  <c:v>9574.4</c:v>
                </c:pt>
                <c:pt idx="5">
                  <c:v>5416.7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99FF"/>
            </a:solidFill>
            <a:ln w="9001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9846269216348025E-5"/>
                  <c:y val="7.5678857899771912E-4"/>
                </c:manualLayout>
              </c:layout>
              <c:dLblPos val="outEnd"/>
              <c:showSerName val="1"/>
            </c:dLbl>
            <c:dLbl>
              <c:idx val="1"/>
              <c:layout>
                <c:manualLayout>
                  <c:x val="5.7972253468316524E-3"/>
                  <c:y val="8.0738832879534948E-3"/>
                </c:manualLayout>
              </c:layout>
              <c:dLblPos val="outEnd"/>
              <c:showSerName val="1"/>
            </c:dLbl>
            <c:dLbl>
              <c:idx val="2"/>
              <c:layout>
                <c:manualLayout>
                  <c:x val="9.9238907785691791E-3"/>
                  <c:y val="-8.1104559604467368E-3"/>
                </c:manualLayout>
              </c:layout>
              <c:dLblPos val="outEnd"/>
              <c:showSerName val="1"/>
            </c:dLbl>
            <c:dLbl>
              <c:idx val="3"/>
              <c:layout>
                <c:manualLayout>
                  <c:x val="2.0011998500187532E-3"/>
                  <c:y val="9.4976819486349267E-3"/>
                </c:manualLayout>
              </c:layout>
              <c:dLblPos val="outEnd"/>
              <c:showSerName val="1"/>
            </c:dLbl>
            <c:dLbl>
              <c:idx val="4"/>
              <c:layout>
                <c:manualLayout>
                  <c:x val="5.810910867645124E-3"/>
                  <c:y val="2.7171580296648972E-3"/>
                </c:manualLayout>
              </c:layout>
              <c:dLblPos val="outEnd"/>
              <c:showSerName val="1"/>
            </c:dLbl>
            <c:dLbl>
              <c:idx val="5"/>
              <c:layout>
                <c:manualLayout>
                  <c:x val="7.1747881156860194E-3"/>
                  <c:y val="-4.6857352133308919E-3"/>
                </c:manualLayout>
              </c:layout>
              <c:dLblPos val="outEnd"/>
              <c:showSerName val="1"/>
            </c:dLbl>
            <c:dLbl>
              <c:idx val="6"/>
              <c:spPr>
                <a:noFill/>
                <a:ln w="18001">
                  <a:noFill/>
                </a:ln>
              </c:spPr>
              <c:txPr>
                <a:bodyPr/>
                <a:lstStyle/>
                <a:p>
                  <a:pPr>
                    <a:defRPr sz="56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Arial Cyr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spPr>
              <a:noFill/>
              <a:ln w="18001">
                <a:noFill/>
              </a:ln>
            </c:spPr>
            <c:txPr>
              <a:bodyPr/>
              <a:lstStyle/>
              <a:p>
                <a:pPr>
                  <a:defRPr sz="565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6"/>
                <c:pt idx="0">
                  <c:v>Аренда земли</c:v>
                </c:pt>
                <c:pt idx="1">
                  <c:v>Аренда имущества</c:v>
                </c:pt>
                <c:pt idx="2">
                  <c:v>Продажа имущества</c:v>
                </c:pt>
                <c:pt idx="3">
                  <c:v>Продажа земли</c:v>
                </c:pt>
                <c:pt idx="4">
                  <c:v>Штрафы</c:v>
                </c:pt>
                <c:pt idx="5">
                  <c:v>Прочие неналоговые поступления</c:v>
                </c:pt>
              </c:strCache>
            </c:strRef>
          </c:cat>
          <c:val>
            <c:numRef>
              <c:f>Sheet1!$B$4:$G$4</c:f>
              <c:numCache>
                <c:formatCode>#,##0.0</c:formatCode>
                <c:ptCount val="6"/>
                <c:pt idx="0">
                  <c:v>70513</c:v>
                </c:pt>
                <c:pt idx="1">
                  <c:v>2586.5</c:v>
                </c:pt>
                <c:pt idx="2">
                  <c:v>20274.7</c:v>
                </c:pt>
                <c:pt idx="3">
                  <c:v>7625</c:v>
                </c:pt>
                <c:pt idx="4">
                  <c:v>0</c:v>
                </c:pt>
                <c:pt idx="5">
                  <c:v>6390.7</c:v>
                </c:pt>
              </c:numCache>
            </c:numRef>
          </c:val>
        </c:ser>
        <c:ser>
          <c:idx val="1"/>
          <c:order val="3"/>
          <c:tx>
            <c:v>2021</c:v>
          </c:tx>
          <c:dLbls>
            <c:dLbl>
              <c:idx val="0"/>
              <c:layout>
                <c:manualLayout>
                  <c:x val="7.6190476190476338E-3"/>
                  <c:y val="-7.4766355140187101E-3"/>
                </c:manualLayout>
              </c:layout>
              <c:dLblPos val="outEnd"/>
              <c:showSerName val="1"/>
            </c:dLbl>
            <c:dLbl>
              <c:idx val="1"/>
              <c:layout>
                <c:manualLayout>
                  <c:x val="1.9047619047619113E-3"/>
                  <c:y val="-1.8691883140775647E-2"/>
                </c:manualLayout>
              </c:layout>
              <c:dLblPos val="outEnd"/>
              <c:showSerName val="1"/>
            </c:dLbl>
            <c:dLbl>
              <c:idx val="3"/>
              <c:layout>
                <c:manualLayout>
                  <c:x val="9.5238095238095247E-3"/>
                  <c:y val="-1.4953271028037415E-2"/>
                </c:manualLayout>
              </c:layout>
              <c:dLblPos val="outEnd"/>
              <c:showSerName val="1"/>
            </c:dLbl>
            <c:dLbl>
              <c:idx val="4"/>
              <c:layout>
                <c:manualLayout>
                  <c:x val="1.9047619047619113E-3"/>
                  <c:y val="-1.86915887850468E-2"/>
                </c:manualLayout>
              </c:layout>
              <c:dLblPos val="outEnd"/>
              <c:showSerName val="1"/>
            </c:dLbl>
            <c:dLbl>
              <c:idx val="5"/>
              <c:layout>
                <c:manualLayout>
                  <c:x val="1.9047619047619113E-3"/>
                  <c:y val="-2.9906542056074761E-2"/>
                </c:manualLayout>
              </c:layout>
              <c:dLblPos val="outEnd"/>
              <c:showSerName val="1"/>
            </c:dLbl>
            <c:txPr>
              <a:bodyPr/>
              <a:lstStyle/>
              <a:p>
                <a:pPr>
                  <a:defRPr sz="565" b="0"/>
                </a:pPr>
                <a:endParaRPr lang="ru-RU"/>
              </a:p>
            </c:txPr>
            <c:showSerName val="1"/>
          </c:dLbls>
          <c:val>
            <c:numRef>
              <c:f>Sheet1!$B$5:$G$5</c:f>
              <c:numCache>
                <c:formatCode>#,##0.0</c:formatCode>
                <c:ptCount val="6"/>
                <c:pt idx="0">
                  <c:v>70263</c:v>
                </c:pt>
                <c:pt idx="1">
                  <c:v>2586.5</c:v>
                </c:pt>
                <c:pt idx="2">
                  <c:v>13318.7</c:v>
                </c:pt>
                <c:pt idx="3">
                  <c:v>7625</c:v>
                </c:pt>
                <c:pt idx="4">
                  <c:v>0</c:v>
                </c:pt>
                <c:pt idx="5">
                  <c:v>7170.7</c:v>
                </c:pt>
              </c:numCache>
            </c:numRef>
          </c:val>
        </c:ser>
        <c:ser>
          <c:idx val="4"/>
          <c:order val="4"/>
          <c:tx>
            <c:v>2022</c:v>
          </c:tx>
          <c:dLbls>
            <c:dLbl>
              <c:idx val="0"/>
              <c:layout>
                <c:manualLayout>
                  <c:x val="1.9047619047619105E-2"/>
                  <c:y val="2.2429906542056139E-2"/>
                </c:manualLayout>
              </c:layout>
              <c:dLblPos val="outEnd"/>
              <c:showSerName val="1"/>
            </c:dLbl>
            <c:dLbl>
              <c:idx val="1"/>
              <c:layout>
                <c:manualLayout>
                  <c:x val="7.6190476190476338E-3"/>
                  <c:y val="1.121495327102804E-2"/>
                </c:manualLayout>
              </c:layout>
              <c:dLblPos val="outEnd"/>
              <c:showSerName val="1"/>
            </c:dLbl>
            <c:dLbl>
              <c:idx val="3"/>
              <c:layout>
                <c:manualLayout>
                  <c:x val="1.9047619047619113E-3"/>
                  <c:y val="1.8691588785046741E-2"/>
                </c:manualLayout>
              </c:layout>
              <c:dLblPos val="outEnd"/>
              <c:showSerName val="1"/>
            </c:dLbl>
            <c:dLbl>
              <c:idx val="5"/>
              <c:layout>
                <c:manualLayout>
                  <c:x val="1.5238095238095243E-2"/>
                  <c:y val="6.8535033822613125E-17"/>
                </c:manualLayout>
              </c:layout>
              <c:dLblPos val="outEnd"/>
              <c:showSerName val="1"/>
            </c:dLbl>
            <c:txPr>
              <a:bodyPr/>
              <a:lstStyle/>
              <a:p>
                <a:pPr>
                  <a:defRPr sz="565" b="0"/>
                </a:pPr>
                <a:endParaRPr lang="ru-RU"/>
              </a:p>
            </c:txPr>
            <c:showSerName val="1"/>
          </c:dLbls>
          <c:val>
            <c:numRef>
              <c:f>Sheet1!$B$6:$G$6</c:f>
              <c:numCache>
                <c:formatCode>#,##0.0</c:formatCode>
                <c:ptCount val="6"/>
                <c:pt idx="0">
                  <c:v>70263</c:v>
                </c:pt>
                <c:pt idx="1">
                  <c:v>2586.5</c:v>
                </c:pt>
                <c:pt idx="2">
                  <c:v>13315.4</c:v>
                </c:pt>
                <c:pt idx="3">
                  <c:v>7625</c:v>
                </c:pt>
                <c:pt idx="4">
                  <c:v>0</c:v>
                </c:pt>
                <c:pt idx="5">
                  <c:v>7890.7</c:v>
                </c:pt>
              </c:numCache>
            </c:numRef>
          </c:val>
        </c:ser>
        <c:axId val="145123968"/>
        <c:axId val="145142144"/>
      </c:barChart>
      <c:catAx>
        <c:axId val="145123968"/>
        <c:scaling>
          <c:orientation val="minMax"/>
        </c:scaling>
        <c:axPos val="b"/>
        <c:numFmt formatCode="General" sourceLinked="1"/>
        <c:tickLblPos val="nextTo"/>
        <c:spPr>
          <a:ln w="225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5142144"/>
        <c:crosses val="autoZero"/>
        <c:auto val="1"/>
        <c:lblAlgn val="ctr"/>
        <c:lblOffset val="100"/>
        <c:tickMarkSkip val="1"/>
      </c:catAx>
      <c:valAx>
        <c:axId val="145142144"/>
        <c:scaling>
          <c:orientation val="minMax"/>
          <c:max val="110000"/>
          <c:min val="0"/>
        </c:scaling>
        <c:axPos val="l"/>
        <c:numFmt formatCode="#,##0.0" sourceLinked="1"/>
        <c:tickLblPos val="nextTo"/>
        <c:spPr>
          <a:ln w="225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6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5123968"/>
        <c:crosses val="autoZero"/>
        <c:crossBetween val="between"/>
        <c:majorUnit val="10000"/>
        <c:minorUnit val="10000"/>
      </c:valAx>
      <c:dTable>
        <c:showHorzBorder val="1"/>
        <c:showVertBorder val="1"/>
        <c:showOutline val="1"/>
        <c:showKeys val="1"/>
        <c:spPr>
          <a:ln w="2250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57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dTable>
      <c:spPr>
        <a:noFill/>
        <a:ln w="25393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82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25642063594509756"/>
          <c:y val="0.29302941104324653"/>
          <c:w val="0.40423510175982102"/>
          <c:h val="0.57612946746142824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22110168559757098"/>
                  <c:y val="-0.1521478885777045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Общегосударственные вопросы;</a:t>
                    </a:r>
                  </a:p>
                  <a:p>
                    <a:r>
                      <a:rPr lang="ru-RU"/>
                      <a:t> 198 367,9; 5,0%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1"/>
              <c:layout>
                <c:manualLayout>
                  <c:x val="0.269364581307036"/>
                  <c:y val="-4.157082500973047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Национальная экономика; </a:t>
                    </a:r>
                  </a:p>
                  <a:p>
                    <a:r>
                      <a:rPr lang="ru-RU"/>
                      <a:t>87 984,0; 2,2%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2"/>
              <c:layout>
                <c:manualLayout>
                  <c:x val="0.16956198144404885"/>
                  <c:y val="0.121952087970915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Жилищно-коммунальное хозяйство; </a:t>
                    </a:r>
                  </a:p>
                  <a:p>
                    <a:r>
                      <a:rPr lang="ru-RU"/>
                      <a:t>75 529,7; 1,9%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3"/>
              <c:layout>
                <c:manualLayout>
                  <c:x val="9.1300718557721219E-2"/>
                  <c:y val="-3.426815806902654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Образование; </a:t>
                    </a:r>
                  </a:p>
                  <a:p>
                    <a:r>
                      <a:rPr lang="ru-RU"/>
                      <a:t>2 940 823,1; 73,5%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4"/>
              <c:layout>
                <c:manualLayout>
                  <c:x val="-7.4778115141622331E-2"/>
                  <c:y val="0.15157204055247045"/>
                </c:manualLayout>
              </c:layout>
              <c:showVal val="1"/>
              <c:showCatName val="1"/>
              <c:showPercent val="1"/>
            </c:dLbl>
            <c:dLbl>
              <c:idx val="5"/>
              <c:layout>
                <c:manualLayout>
                  <c:x val="-0.14226240516927871"/>
                  <c:y val="7.782223853859840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Социальная политика;</a:t>
                    </a:r>
                  </a:p>
                  <a:p>
                    <a:r>
                      <a:rPr lang="ru-RU"/>
                      <a:t> 197 004,6; 4,9%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6"/>
              <c:layout>
                <c:manualLayout>
                  <c:x val="-0.16584329417839208"/>
                  <c:y val="-2.5736011970466349E-2"/>
                </c:manualLayout>
              </c:layout>
              <c:showVal val="1"/>
              <c:showCatName val="1"/>
              <c:showPercent val="1"/>
            </c:dLbl>
            <c:dLbl>
              <c:idx val="7"/>
              <c:layout>
                <c:manualLayout>
                  <c:x val="-9.770009896303973E-2"/>
                  <c:y val="-9.2679127725856708E-2"/>
                </c:manualLayout>
              </c:layout>
              <c:showVal val="1"/>
              <c:showCatName val="1"/>
              <c:showPercent val="1"/>
            </c:dLbl>
            <c:dLbl>
              <c:idx val="8"/>
              <c:layout>
                <c:manualLayout>
                  <c:x val="6.3630136396884807E-2"/>
                  <c:y val="-0.1121495327102805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i="0" baseline="0">
                        <a:latin typeface="Times New Roman" pitchFamily="18" charset="0"/>
                      </a:rPr>
                      <a:t>М</a:t>
                    </a:r>
                    <a:r>
                      <a:rPr lang="ru-RU"/>
                      <a:t>ежбюджетные трансферты общего характера ; 21 167,7; 0,4%</a:t>
                    </a:r>
                  </a:p>
                </c:rich>
              </c:tx>
              <c:showVal val="1"/>
              <c:showCatName val="1"/>
              <c:showPercent val="1"/>
            </c:dLbl>
            <c:numFmt formatCode="0.0%" sourceLinked="0"/>
            <c:txPr>
              <a:bodyPr/>
              <a:lstStyle/>
              <a:p>
                <a:pPr>
                  <a:defRPr sz="1000" b="1" i="0" baseline="0">
                    <a:latin typeface="Times New Roman" pitchFamily="18" charset="0"/>
                  </a:defRPr>
                </a:pPr>
                <a:endParaRPr lang="ru-RU"/>
              </a:p>
            </c:txPr>
            <c:showVal val="1"/>
            <c:showCatName val="1"/>
            <c:showPercent val="1"/>
            <c:showLeaderLines val="1"/>
          </c:dLbls>
          <c:cat>
            <c:strRef>
              <c:f>'Лист2 (2)'!$A$1:$I$1</c:f>
              <c:strCache>
                <c:ptCount val="9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Образование</c:v>
                </c:pt>
                <c:pt idx="4">
                  <c:v>Культура и кинематография</c:v>
                </c:pt>
                <c:pt idx="5">
                  <c:v>Социальная политика</c:v>
                </c:pt>
                <c:pt idx="6">
                  <c:v>Физическая культура и спорт</c:v>
                </c:pt>
                <c:pt idx="7">
                  <c:v>Обслуживание государственного и муниципального долга</c:v>
                </c:pt>
                <c:pt idx="8">
                  <c:v>Межбюджетные трансферты общего характера бюджетам бюджетной системы Российской Федерации</c:v>
                </c:pt>
              </c:strCache>
            </c:strRef>
          </c:cat>
          <c:val>
            <c:numRef>
              <c:f>'Лист2 (2)'!$A$2:$I$2</c:f>
              <c:numCache>
                <c:formatCode>#,##0.0</c:formatCode>
                <c:ptCount val="9"/>
                <c:pt idx="0">
                  <c:v>198367.9</c:v>
                </c:pt>
                <c:pt idx="1">
                  <c:v>87984</c:v>
                </c:pt>
                <c:pt idx="2">
                  <c:v>75529.7</c:v>
                </c:pt>
                <c:pt idx="3">
                  <c:v>2940823.1</c:v>
                </c:pt>
                <c:pt idx="4">
                  <c:v>258794.5</c:v>
                </c:pt>
                <c:pt idx="5">
                  <c:v>197004.6</c:v>
                </c:pt>
                <c:pt idx="6">
                  <c:v>135685.79999999999</c:v>
                </c:pt>
                <c:pt idx="7">
                  <c:v>87000</c:v>
                </c:pt>
                <c:pt idx="8">
                  <c:v>21167.7</c:v>
                </c:pt>
              </c:numCache>
            </c:numRef>
          </c:val>
        </c:ser>
        <c:firstSliceAng val="0"/>
      </c:pieChart>
    </c:plotArea>
    <c:plotVisOnly val="1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2395570325572422"/>
          <c:y val="5.8986764613311711E-2"/>
          <c:w val="0.87435439391368863"/>
          <c:h val="0.37196203921886323"/>
        </c:manualLayout>
      </c:layout>
      <c:barChart>
        <c:barDir val="col"/>
        <c:grouping val="clustered"/>
        <c:ser>
          <c:idx val="0"/>
          <c:order val="0"/>
          <c:tx>
            <c:strRef>
              <c:f>Лист2!$A$2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Лист2!$B$1:$L$1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безопасность и правоохранительная деятельность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 и кинематография</c:v>
                </c:pt>
                <c:pt idx="6">
                  <c:v>Социальная политика</c:v>
                </c:pt>
                <c:pt idx="7">
                  <c:v>Физическая культура и спорт</c:v>
                </c:pt>
                <c:pt idx="8">
                  <c:v>Средства массовой информации</c:v>
                </c:pt>
                <c:pt idx="9">
                  <c:v>Обслуживание государственного и муниципального долга</c:v>
                </c:pt>
                <c:pt idx="10">
                  <c:v>Межбюджетные трансферты общего характера бюджетам бюджетной системы Российской Федерации</c:v>
                </c:pt>
              </c:strCache>
            </c:strRef>
          </c:cat>
          <c:val>
            <c:numRef>
              <c:f>Лист2!$B$2:$L$2</c:f>
              <c:numCache>
                <c:formatCode>#,##0.0</c:formatCode>
                <c:ptCount val="11"/>
                <c:pt idx="0">
                  <c:v>140157.9</c:v>
                </c:pt>
                <c:pt idx="1">
                  <c:v>11606.9</c:v>
                </c:pt>
                <c:pt idx="2">
                  <c:v>47550.1</c:v>
                </c:pt>
                <c:pt idx="3">
                  <c:v>56367.5</c:v>
                </c:pt>
                <c:pt idx="4">
                  <c:v>2266201</c:v>
                </c:pt>
                <c:pt idx="5">
                  <c:v>182808.8</c:v>
                </c:pt>
                <c:pt idx="6">
                  <c:v>141198.5</c:v>
                </c:pt>
                <c:pt idx="7">
                  <c:v>1456.6</c:v>
                </c:pt>
                <c:pt idx="8">
                  <c:v>500</c:v>
                </c:pt>
                <c:pt idx="9">
                  <c:v>103000</c:v>
                </c:pt>
                <c:pt idx="10">
                  <c:v>40334.1</c:v>
                </c:pt>
              </c:numCache>
            </c:numRef>
          </c:val>
        </c:ser>
        <c:ser>
          <c:idx val="1"/>
          <c:order val="1"/>
          <c:tx>
            <c:strRef>
              <c:f>Лист2!$A$3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Лист2!$B$1:$L$1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безопасность и правоохранительная деятельность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 и кинематография</c:v>
                </c:pt>
                <c:pt idx="6">
                  <c:v>Социальная политика</c:v>
                </c:pt>
                <c:pt idx="7">
                  <c:v>Физическая культура и спорт</c:v>
                </c:pt>
                <c:pt idx="8">
                  <c:v>Средства массовой информации</c:v>
                </c:pt>
                <c:pt idx="9">
                  <c:v>Обслуживание государственного и муниципального долга</c:v>
                </c:pt>
                <c:pt idx="10">
                  <c:v>Межбюджетные трансферты общего характера бюджетам бюджетной системы Российской Федерации</c:v>
                </c:pt>
              </c:strCache>
            </c:strRef>
          </c:cat>
          <c:val>
            <c:numRef>
              <c:f>Лист2!$B$3:$L$3</c:f>
              <c:numCache>
                <c:formatCode>#,##0.0</c:formatCode>
                <c:ptCount val="11"/>
                <c:pt idx="0">
                  <c:v>197901</c:v>
                </c:pt>
                <c:pt idx="1">
                  <c:v>12010.1</c:v>
                </c:pt>
                <c:pt idx="2">
                  <c:v>55944.7</c:v>
                </c:pt>
                <c:pt idx="3">
                  <c:v>70317.399999999994</c:v>
                </c:pt>
                <c:pt idx="4">
                  <c:v>3035722.7</c:v>
                </c:pt>
                <c:pt idx="5">
                  <c:v>234574</c:v>
                </c:pt>
                <c:pt idx="6">
                  <c:v>176275.5</c:v>
                </c:pt>
                <c:pt idx="7">
                  <c:v>6942</c:v>
                </c:pt>
                <c:pt idx="8">
                  <c:v>500</c:v>
                </c:pt>
                <c:pt idx="9">
                  <c:v>96000</c:v>
                </c:pt>
                <c:pt idx="10">
                  <c:v>40474.1</c:v>
                </c:pt>
              </c:numCache>
            </c:numRef>
          </c:val>
        </c:ser>
        <c:ser>
          <c:idx val="2"/>
          <c:order val="2"/>
          <c:tx>
            <c:strRef>
              <c:f>Лист2!$A$4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Лист2!$B$1:$L$1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безопасность и правоохранительная деятельность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 и кинематография</c:v>
                </c:pt>
                <c:pt idx="6">
                  <c:v>Социальная политика</c:v>
                </c:pt>
                <c:pt idx="7">
                  <c:v>Физическая культура и спорт</c:v>
                </c:pt>
                <c:pt idx="8">
                  <c:v>Средства массовой информации</c:v>
                </c:pt>
                <c:pt idx="9">
                  <c:v>Обслуживание государственного и муниципального долга</c:v>
                </c:pt>
                <c:pt idx="10">
                  <c:v>Межбюджетные трансферты общего характера бюджетам бюджетной системы Российской Федерации</c:v>
                </c:pt>
              </c:strCache>
            </c:strRef>
          </c:cat>
          <c:val>
            <c:numRef>
              <c:f>Лист2!$B$4:$L$4</c:f>
              <c:numCache>
                <c:formatCode>General</c:formatCode>
                <c:ptCount val="11"/>
                <c:pt idx="0" formatCode="#,##0.0">
                  <c:v>198367.9</c:v>
                </c:pt>
                <c:pt idx="2" formatCode="#,##0.0">
                  <c:v>87984</c:v>
                </c:pt>
                <c:pt idx="3" formatCode="#,##0.0">
                  <c:v>75529.7</c:v>
                </c:pt>
                <c:pt idx="4" formatCode="#,##0.0">
                  <c:v>2940823.1</c:v>
                </c:pt>
                <c:pt idx="5" formatCode="#,##0.0">
                  <c:v>258794.5</c:v>
                </c:pt>
                <c:pt idx="6" formatCode="#,##0.0">
                  <c:v>197004.6</c:v>
                </c:pt>
                <c:pt idx="7" formatCode="#,##0.0">
                  <c:v>135685.79999999999</c:v>
                </c:pt>
                <c:pt idx="9" formatCode="#,##0.0">
                  <c:v>87000</c:v>
                </c:pt>
                <c:pt idx="10" formatCode="#,##0.0">
                  <c:v>21167.7</c:v>
                </c:pt>
              </c:numCache>
            </c:numRef>
          </c:val>
        </c:ser>
        <c:axId val="145190912"/>
        <c:axId val="145192448"/>
      </c:barChart>
      <c:catAx>
        <c:axId val="145190912"/>
        <c:scaling>
          <c:orientation val="minMax"/>
        </c:scaling>
        <c:delete val="1"/>
        <c:axPos val="b"/>
        <c:numFmt formatCode="General" sourceLinked="1"/>
        <c:tickLblPos val="none"/>
        <c:crossAx val="145192448"/>
        <c:crosses val="autoZero"/>
        <c:auto val="1"/>
        <c:lblAlgn val="ctr"/>
        <c:lblOffset val="100"/>
      </c:catAx>
      <c:valAx>
        <c:axId val="145192448"/>
        <c:scaling>
          <c:orientation val="minMax"/>
        </c:scaling>
        <c:axPos val="l"/>
        <c:numFmt formatCode="#,##0.0" sourceLinked="1"/>
        <c:tickLblPos val="nextTo"/>
        <c:spPr>
          <a:noFill/>
        </c:spPr>
        <c:txPr>
          <a:bodyPr/>
          <a:lstStyle/>
          <a:p>
            <a:pPr>
              <a:defRPr sz="800"/>
            </a:pPr>
            <a:endParaRPr lang="ru-RU"/>
          </a:p>
        </c:txPr>
        <c:crossAx val="14519091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600"/>
            </a:pPr>
            <a:endParaRPr lang="ru-RU"/>
          </a:p>
        </c:txPr>
      </c:dTable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58</Pages>
  <Words>14612</Words>
  <Characters>83290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Л.В.</dc:creator>
  <cp:keywords/>
  <dc:description/>
  <cp:lastModifiedBy>Литовченко Л.В.</cp:lastModifiedBy>
  <cp:revision>2</cp:revision>
  <dcterms:created xsi:type="dcterms:W3CDTF">2019-11-14T07:22:00Z</dcterms:created>
  <dcterms:modified xsi:type="dcterms:W3CDTF">2019-11-14T07:27:00Z</dcterms:modified>
</cp:coreProperties>
</file>